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5E4F6DBE" w:rsidR="00EC2821" w:rsidRPr="007E01D9" w:rsidRDefault="00EC2821" w:rsidP="00D22C24">
            <w:pPr>
              <w:jc w:val="right"/>
            </w:pP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2831FC6C" w:rsidR="00EC2821" w:rsidRPr="007E01D9" w:rsidRDefault="00EC2821" w:rsidP="00D22C24">
            <w:pPr>
              <w:ind w:right="198"/>
              <w:jc w:val="right"/>
            </w:pP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5D6EA73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10A0E1D0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5C5581" w:rsidRPr="005C5581">
        <w:rPr>
          <w:sz w:val="26"/>
          <w:szCs w:val="26"/>
        </w:rPr>
        <w:t>Реконструкция мостового перехода через р. Салгир на км 672+704 автомобильной дороги 35 ОП РЗ 35А-002 (Е-105) Граница с Украиной - Симферополь - Алушта – Ялта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11537AFE" w14:textId="77777777" w:rsidR="00CE5DEC" w:rsidRPr="00101B74" w:rsidRDefault="00CE5DEC" w:rsidP="00CE5DEC">
      <w:pPr>
        <w:pStyle w:val="a3"/>
        <w:spacing w:after="0"/>
        <w:ind w:left="720"/>
        <w:jc w:val="both"/>
        <w:rPr>
          <w:sz w:val="26"/>
          <w:szCs w:val="26"/>
        </w:rPr>
      </w:pPr>
      <w:r w:rsidRPr="00101B74">
        <w:rPr>
          <w:sz w:val="26"/>
          <w:szCs w:val="26"/>
          <w:lang w:eastAsia="en-US"/>
        </w:rPr>
        <w:t>Распоряжение Совета министров Республики Крым от 27.11.202</w:t>
      </w:r>
      <w:r>
        <w:rPr>
          <w:sz w:val="26"/>
          <w:szCs w:val="26"/>
          <w:lang w:eastAsia="en-US"/>
        </w:rPr>
        <w:t>5</w:t>
      </w:r>
      <w:r w:rsidRPr="00101B74">
        <w:rPr>
          <w:sz w:val="26"/>
          <w:szCs w:val="26"/>
          <w:lang w:eastAsia="en-US"/>
        </w:rPr>
        <w:t xml:space="preserve"> № 2</w:t>
      </w:r>
      <w:r>
        <w:rPr>
          <w:sz w:val="26"/>
          <w:szCs w:val="26"/>
          <w:lang w:eastAsia="en-US"/>
        </w:rPr>
        <w:t>03</w:t>
      </w:r>
      <w:r w:rsidRPr="00101B74">
        <w:rPr>
          <w:sz w:val="26"/>
          <w:szCs w:val="26"/>
          <w:lang w:eastAsia="en-US"/>
        </w:rPr>
        <w:t>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397C377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32223544" w14:textId="77777777" w:rsidR="009C12C4" w:rsidRPr="00497A4E" w:rsidRDefault="00B901D3" w:rsidP="009C12C4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9C12C4">
        <w:rPr>
          <w:sz w:val="26"/>
          <w:szCs w:val="26"/>
        </w:rPr>
        <w:t>Проектная документация по Объекту.</w:t>
      </w:r>
    </w:p>
    <w:p w14:paraId="656234C3" w14:textId="77777777" w:rsidR="009C12C4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E35581" w14:textId="42D0FCA0" w:rsidR="00F6701C" w:rsidRPr="008C5504" w:rsidRDefault="009C12C4" w:rsidP="007B0822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7B0822">
        <w:rPr>
          <w:sz w:val="26"/>
          <w:szCs w:val="26"/>
        </w:rPr>
        <w:t>09</w:t>
      </w:r>
      <w:r w:rsidRPr="00E150BF">
        <w:rPr>
          <w:sz w:val="26"/>
          <w:szCs w:val="26"/>
        </w:rPr>
        <w:t>.</w:t>
      </w:r>
      <w:r w:rsidR="007B0822">
        <w:rPr>
          <w:sz w:val="26"/>
          <w:szCs w:val="26"/>
        </w:rPr>
        <w:t>09</w:t>
      </w:r>
      <w:r w:rsidRPr="00E150BF">
        <w:rPr>
          <w:sz w:val="26"/>
          <w:szCs w:val="26"/>
        </w:rPr>
        <w:t>.20</w:t>
      </w:r>
      <w:r w:rsidR="007B0822">
        <w:rPr>
          <w:sz w:val="26"/>
          <w:szCs w:val="26"/>
        </w:rPr>
        <w:t>19</w:t>
      </w:r>
      <w:r w:rsidRPr="00E150BF">
        <w:rPr>
          <w:sz w:val="26"/>
          <w:szCs w:val="26"/>
        </w:rPr>
        <w:t xml:space="preserve"> № 91-1-</w:t>
      </w:r>
      <w:r w:rsidR="007B0822">
        <w:rPr>
          <w:sz w:val="26"/>
          <w:szCs w:val="26"/>
        </w:rPr>
        <w:t>1-3-023930-2019</w:t>
      </w: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7BADC5F2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7B0822" w:rsidRPr="005C5581">
        <w:rPr>
          <w:sz w:val="26"/>
          <w:szCs w:val="26"/>
        </w:rPr>
        <w:t>Реконструкция мостового перехода через р. Салгир на км 672+704 автомобильной дороги 35 ОП РЗ 35А-002 (Е-105) Граница с Украиной - Симферополь - Алушта – Ялта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565099B9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</w:t>
            </w:r>
            <w:r w:rsidR="005C5581">
              <w:rPr>
                <w:sz w:val="26"/>
                <w:szCs w:val="26"/>
              </w:rPr>
              <w:t>конструкция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7D372C85" w:rsidR="005C03AB" w:rsidRPr="00F23B98" w:rsidRDefault="00693D05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813535">
              <w:rPr>
                <w:sz w:val="26"/>
                <w:szCs w:val="26"/>
                <w:lang w:val="en-US"/>
              </w:rPr>
              <w:t>I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3869AF84" w:rsidR="006F20C2" w:rsidRPr="00F23B98" w:rsidRDefault="007B0822" w:rsidP="006F20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B0822" w:rsidRPr="00F23B98" w14:paraId="57C82AE8" w14:textId="77777777" w:rsidTr="002C3805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2F412484" w14:textId="4B03CD86" w:rsidR="007B0822" w:rsidRPr="00F23B98" w:rsidRDefault="007B0822" w:rsidP="007B0822">
            <w:pPr>
              <w:ind w:firstLine="132"/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</w:tcPr>
          <w:p w14:paraId="71229C04" w14:textId="6F81FA44" w:rsidR="007B0822" w:rsidRDefault="007B0822" w:rsidP="007B0822">
            <w:pPr>
              <w:jc w:val="center"/>
            </w:pPr>
            <w:r>
              <w:t>60</w:t>
            </w:r>
          </w:p>
        </w:tc>
      </w:tr>
      <w:tr w:rsidR="007B0822" w:rsidRPr="00F23B98" w14:paraId="1192A16C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481DC86B" w14:textId="79D544AB" w:rsidR="007B0822" w:rsidRPr="00F23B98" w:rsidRDefault="007B0822" w:rsidP="007B0822">
            <w:pPr>
              <w:ind w:firstLine="132"/>
            </w:pPr>
            <w:r>
              <w:t>Расчетные нагрузки моста до/после реконструкции</w:t>
            </w:r>
          </w:p>
        </w:tc>
        <w:tc>
          <w:tcPr>
            <w:tcW w:w="3544" w:type="dxa"/>
            <w:shd w:val="clear" w:color="auto" w:fill="FFFFFF"/>
          </w:tcPr>
          <w:p w14:paraId="399E864A" w14:textId="13D937E8" w:rsidR="007B0822" w:rsidRDefault="007B0822" w:rsidP="007B0822">
            <w:pPr>
              <w:jc w:val="center"/>
            </w:pPr>
            <w:r>
              <w:t>А14, Н14 (НК 102,8)</w:t>
            </w:r>
          </w:p>
        </w:tc>
      </w:tr>
      <w:tr w:rsidR="007B082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7B0822" w:rsidRPr="00F23B98" w:rsidRDefault="007B0822" w:rsidP="007B082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2F68A005" w:rsidR="007B0822" w:rsidRPr="00F23B98" w:rsidRDefault="007B0822" w:rsidP="007B0822">
            <w:pPr>
              <w:jc w:val="center"/>
              <w:rPr>
                <w:sz w:val="26"/>
                <w:szCs w:val="26"/>
              </w:rPr>
            </w:pPr>
            <w:r>
              <w:t>9,00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2DFDFD28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693D05">
        <w:rPr>
          <w:sz w:val="26"/>
          <w:szCs w:val="26"/>
        </w:rPr>
        <w:t>7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D10E5C">
        <w:tc>
          <w:tcPr>
            <w:tcW w:w="4536" w:type="dxa"/>
          </w:tcPr>
          <w:p w14:paraId="41609289" w14:textId="20AD9261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GoBack"/>
            <w:bookmarkEnd w:id="2"/>
          </w:p>
        </w:tc>
        <w:tc>
          <w:tcPr>
            <w:tcW w:w="5098" w:type="dxa"/>
          </w:tcPr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7DAE2650" w14:textId="3DD5503B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5581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0822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E5DEC"/>
    <w:rsid w:val="00CF04C9"/>
    <w:rsid w:val="00CF491A"/>
    <w:rsid w:val="00CF6389"/>
    <w:rsid w:val="00D07D79"/>
    <w:rsid w:val="00D10E5C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3121-3F67-4ADD-88FF-9175B2B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2109</Words>
  <Characters>12024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2022-01-26T13:37:00Z</cp:lastPrinted>
  <dcterms:created xsi:type="dcterms:W3CDTF">2026-05-25T14:49:00Z</dcterms:created>
  <dcterms:modified xsi:type="dcterms:W3CDTF">2026-05-25T14:49:00Z</dcterms:modified>
</cp:coreProperties>
</file>