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5A432E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3DDE7D5B" w:rsidR="00A51657" w:rsidRPr="00196988" w:rsidRDefault="00A51657" w:rsidP="0080799D">
      <w:pPr>
        <w:jc w:val="center"/>
        <w:rPr>
          <w:sz w:val="26"/>
          <w:szCs w:val="26"/>
          <w:lang w:eastAsia="ar-SA"/>
        </w:rPr>
      </w:pPr>
      <w:r w:rsidRPr="00196988">
        <w:rPr>
          <w:sz w:val="26"/>
          <w:szCs w:val="26"/>
        </w:rPr>
        <w:t>«</w:t>
      </w:r>
      <w:bookmarkStart w:id="1" w:name="_Hlk217914540"/>
      <w:r w:rsidR="00196988" w:rsidRPr="00196988">
        <w:rPr>
          <w:sz w:val="26"/>
          <w:szCs w:val="26"/>
          <w:lang w:val="x-none" w:eastAsia="x-none"/>
        </w:rPr>
        <w:t>Ремонт улично-дорожной сети муниципального образования Бахчисарайский район Республики Крым. 1-ый этап в 2026 году</w:t>
      </w:r>
      <w:r w:rsidR="001928A3" w:rsidRPr="00196988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</w:t>
      </w:r>
      <w:bookmarkStart w:id="2" w:name="_GoBack"/>
      <w:bookmarkEnd w:id="2"/>
      <w:r w:rsidRPr="0073394B">
        <w:t>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79AB59B3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196988" w:rsidRPr="00196988">
        <w:rPr>
          <w:rFonts w:ascii="Times New Roman" w:hAnsi="Times New Roman"/>
          <w:sz w:val="24"/>
          <w:szCs w:val="24"/>
          <w:lang w:val="x-none" w:eastAsia="x-none"/>
        </w:rPr>
        <w:t>Ремонт улично-дорожной сети муниципального образования Бахчисарайский район Республики Крым. 1-ый этап в 2026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01A7BD37" w14:textId="77777777" w:rsidR="000343CF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   </w:t>
      </w:r>
      <w:bookmarkStart w:id="3" w:name="_Hlk219121169"/>
    </w:p>
    <w:p w14:paraId="43F368EB" w14:textId="77777777" w:rsidR="00196988" w:rsidRDefault="00196988" w:rsidP="00196988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AF0312">
        <w:rPr>
          <w:rFonts w:ascii="Times New Roman" w:hAnsi="Times New Roman"/>
          <w:b/>
          <w:sz w:val="26"/>
          <w:szCs w:val="26"/>
        </w:rPr>
        <w:t xml:space="preserve">с. Маловидное, ул. </w:t>
      </w:r>
      <w:proofErr w:type="spellStart"/>
      <w:r w:rsidRPr="00AF0312">
        <w:rPr>
          <w:rFonts w:ascii="Times New Roman" w:hAnsi="Times New Roman"/>
          <w:b/>
          <w:sz w:val="26"/>
          <w:szCs w:val="26"/>
        </w:rPr>
        <w:t>Аметхана</w:t>
      </w:r>
      <w:proofErr w:type="spellEnd"/>
      <w:r w:rsidRPr="00AF0312">
        <w:rPr>
          <w:rFonts w:ascii="Times New Roman" w:hAnsi="Times New Roman"/>
          <w:b/>
          <w:sz w:val="26"/>
          <w:szCs w:val="26"/>
        </w:rPr>
        <w:t xml:space="preserve"> Султана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196988" w14:paraId="4D4CA3B6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CDF21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8D413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196988" w14:paraId="0853A9D0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1498C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F3DD3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196988" w14:paraId="46EA9991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64218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248AA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0,759</w:t>
            </w:r>
          </w:p>
        </w:tc>
      </w:tr>
      <w:tr w:rsidR="00196988" w14:paraId="1BA97EB3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23A86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0145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196988" w14:paraId="100EA7F9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E4935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483A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96988" w14:paraId="22C2048D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EB933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A6C7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196988" w14:paraId="78640E3A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54A33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C4A1C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3182C33A" w14:textId="77777777" w:rsidR="00196988" w:rsidRDefault="00196988" w:rsidP="00196988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0088612A" w14:textId="77777777" w:rsidR="00196988" w:rsidRDefault="00196988" w:rsidP="00196988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F0312">
        <w:rPr>
          <w:rFonts w:ascii="Times New Roman" w:hAnsi="Times New Roman"/>
          <w:b/>
          <w:sz w:val="26"/>
          <w:szCs w:val="26"/>
        </w:rPr>
        <w:t>пгт</w:t>
      </w:r>
      <w:proofErr w:type="spellEnd"/>
      <w:r>
        <w:rPr>
          <w:rFonts w:ascii="Times New Roman" w:hAnsi="Times New Roman"/>
          <w:b/>
          <w:sz w:val="26"/>
          <w:szCs w:val="26"/>
        </w:rPr>
        <w:t>.</w:t>
      </w:r>
      <w:r w:rsidRPr="00AF0312">
        <w:rPr>
          <w:rFonts w:ascii="Times New Roman" w:hAnsi="Times New Roman"/>
          <w:b/>
          <w:sz w:val="26"/>
          <w:szCs w:val="26"/>
        </w:rPr>
        <w:t xml:space="preserve"> Почтовое ул. Озерная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196988" w14:paraId="6365169F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43A9D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94EE9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196988" w14:paraId="470E48A2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1CF58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C26EF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196988" w14:paraId="31C394F3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55655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DA870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0,400</w:t>
            </w:r>
          </w:p>
        </w:tc>
      </w:tr>
      <w:tr w:rsidR="00196988" w14:paraId="57A3CDD7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5F3F6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FB5C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196988" w14:paraId="374732F2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C8DA4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B2EE" w14:textId="77777777" w:rsidR="00196988" w:rsidRPr="00C15ABB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</w:t>
            </w:r>
          </w:p>
        </w:tc>
      </w:tr>
      <w:tr w:rsidR="00196988" w14:paraId="18AFB7AE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A49A0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658E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5,0</w:t>
            </w:r>
          </w:p>
        </w:tc>
      </w:tr>
      <w:tr w:rsidR="00196988" w14:paraId="206CA758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63F71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C927D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035C9DF5" w14:textId="77777777" w:rsidR="00196988" w:rsidRDefault="00196988" w:rsidP="00196988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13248252" w14:textId="77777777" w:rsidR="00196988" w:rsidRDefault="00196988" w:rsidP="00196988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AF0312">
        <w:rPr>
          <w:rFonts w:ascii="Times New Roman" w:hAnsi="Times New Roman"/>
          <w:b/>
          <w:sz w:val="26"/>
          <w:szCs w:val="26"/>
        </w:rPr>
        <w:t xml:space="preserve">с. </w:t>
      </w:r>
      <w:proofErr w:type="spellStart"/>
      <w:r w:rsidRPr="00AF0312">
        <w:rPr>
          <w:rFonts w:ascii="Times New Roman" w:hAnsi="Times New Roman"/>
          <w:b/>
          <w:sz w:val="26"/>
          <w:szCs w:val="26"/>
        </w:rPr>
        <w:t>Вилино</w:t>
      </w:r>
      <w:proofErr w:type="spellEnd"/>
      <w:r w:rsidRPr="00AF0312">
        <w:rPr>
          <w:rFonts w:ascii="Times New Roman" w:hAnsi="Times New Roman"/>
          <w:b/>
          <w:sz w:val="26"/>
          <w:szCs w:val="26"/>
        </w:rPr>
        <w:t>, ул. Колхозная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196988" w14:paraId="2F829D3A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82DBF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FEDCD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196988" w14:paraId="60762E0A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6860C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15B3F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196988" w14:paraId="59D1723B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131A4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A371E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0,425</w:t>
            </w:r>
          </w:p>
        </w:tc>
      </w:tr>
      <w:tr w:rsidR="00196988" w14:paraId="3FCA08D1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836B2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2EC4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196988" w14:paraId="507C4491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11E2E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A5E6" w14:textId="77777777" w:rsidR="00196988" w:rsidRPr="00C15ABB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96988" w14:paraId="515D8574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F4A9D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3E01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4,0</w:t>
            </w:r>
          </w:p>
        </w:tc>
      </w:tr>
      <w:tr w:rsidR="00196988" w14:paraId="69BA5896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58BDC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32CCC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CE56176" w14:textId="77777777" w:rsidR="00196988" w:rsidRDefault="00196988" w:rsidP="00196988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76D8C614" w14:textId="77777777" w:rsidR="00196988" w:rsidRDefault="00196988" w:rsidP="00196988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AF0312">
        <w:rPr>
          <w:rFonts w:ascii="Times New Roman" w:hAnsi="Times New Roman"/>
          <w:b/>
          <w:sz w:val="26"/>
          <w:szCs w:val="26"/>
        </w:rPr>
        <w:t>с. Фурмановка, ул. Юбилейная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196988" w14:paraId="038DF119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3E1C7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97A83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196988" w14:paraId="4BFF4F57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70912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3F232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196988" w14:paraId="7B9D11B5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39B05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EBD32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0,450</w:t>
            </w:r>
          </w:p>
        </w:tc>
      </w:tr>
      <w:tr w:rsidR="00196988" w14:paraId="2856C5B6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D5832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515B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196988" w14:paraId="5E322B28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B8CB1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3746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96988" w14:paraId="4EB2351A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E763F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2B1F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196988" w14:paraId="031E505C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C156B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E5DB8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3CFD9E35" w14:textId="77777777" w:rsidR="00196988" w:rsidRDefault="00196988" w:rsidP="00196988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68AB275A" w14:textId="77777777" w:rsidR="00196988" w:rsidRDefault="00196988" w:rsidP="00196988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AF0312">
        <w:rPr>
          <w:rFonts w:ascii="Times New Roman" w:hAnsi="Times New Roman"/>
          <w:b/>
          <w:sz w:val="26"/>
          <w:szCs w:val="26"/>
        </w:rPr>
        <w:t>с. Заветное, ул. Заречная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196988" w14:paraId="48583325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19F36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5833B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196988" w14:paraId="6FFEFBDC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EDB91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A54AC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196988" w14:paraId="39FF5B78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11BAA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EFC3C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0,500</w:t>
            </w:r>
          </w:p>
        </w:tc>
      </w:tr>
      <w:tr w:rsidR="00196988" w14:paraId="59DC5FAE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4E3FC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08C5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196988" w14:paraId="04D7CC5F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F88A0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49F9" w14:textId="77777777" w:rsidR="00196988" w:rsidRPr="00C15ABB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96988" w14:paraId="7AA496C1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8161A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C91F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4,5</w:t>
            </w:r>
          </w:p>
        </w:tc>
      </w:tr>
      <w:tr w:rsidR="00196988" w14:paraId="11430278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86AEB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A7623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52C282B2" w14:textId="77777777" w:rsidR="00196988" w:rsidRDefault="00196988" w:rsidP="00196988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0B1CBCFC" w14:textId="77777777" w:rsidR="00196988" w:rsidRDefault="00196988" w:rsidP="00196988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AF0312">
        <w:rPr>
          <w:rFonts w:ascii="Times New Roman" w:hAnsi="Times New Roman"/>
          <w:b/>
          <w:sz w:val="26"/>
          <w:szCs w:val="26"/>
        </w:rPr>
        <w:t xml:space="preserve">с. </w:t>
      </w:r>
      <w:proofErr w:type="spellStart"/>
      <w:r w:rsidRPr="00AF0312">
        <w:rPr>
          <w:rFonts w:ascii="Times New Roman" w:hAnsi="Times New Roman"/>
          <w:b/>
          <w:sz w:val="26"/>
          <w:szCs w:val="26"/>
        </w:rPr>
        <w:t>Некрасовка</w:t>
      </w:r>
      <w:proofErr w:type="spellEnd"/>
      <w:r w:rsidRPr="00AF0312">
        <w:rPr>
          <w:rFonts w:ascii="Times New Roman" w:hAnsi="Times New Roman"/>
          <w:b/>
          <w:sz w:val="26"/>
          <w:szCs w:val="26"/>
        </w:rPr>
        <w:t>, ул. Октябрьская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196988" w14:paraId="1F720C98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ACC9C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87E4D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196988" w14:paraId="54405DA8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9D4AB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09FD5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196988" w14:paraId="7AB1B185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5E779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DE6F3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0,565</w:t>
            </w:r>
          </w:p>
        </w:tc>
      </w:tr>
      <w:tr w:rsidR="00196988" w14:paraId="23DE5DDB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432D5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BE10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196988" w14:paraId="726A1522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35FB8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E26B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96988" w14:paraId="5326C704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9B9B4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0E12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196988" w14:paraId="538262A6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DD5AC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AEC91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18FBF3F" w14:textId="77777777" w:rsidR="00196988" w:rsidRDefault="00196988" w:rsidP="00196988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32A8BDC3" w14:textId="77777777" w:rsidR="00196988" w:rsidRDefault="00196988" w:rsidP="00196988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AF0312">
        <w:rPr>
          <w:rFonts w:ascii="Times New Roman" w:hAnsi="Times New Roman"/>
          <w:b/>
          <w:sz w:val="26"/>
          <w:szCs w:val="26"/>
        </w:rPr>
        <w:t xml:space="preserve">с. Прохладное, ул. </w:t>
      </w:r>
      <w:proofErr w:type="spellStart"/>
      <w:r w:rsidRPr="00AF0312">
        <w:rPr>
          <w:rFonts w:ascii="Times New Roman" w:hAnsi="Times New Roman"/>
          <w:b/>
          <w:sz w:val="26"/>
          <w:szCs w:val="26"/>
        </w:rPr>
        <w:t>Сандулова</w:t>
      </w:r>
      <w:proofErr w:type="spellEnd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196988" w14:paraId="09ED18AE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4BA2F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75679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196988" w14:paraId="5E5842F6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891F1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3B65F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196988" w14:paraId="54A87CD4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DB94C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A81F5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0,500</w:t>
            </w:r>
          </w:p>
        </w:tc>
      </w:tr>
      <w:tr w:rsidR="00196988" w14:paraId="4FEEC95F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9AF46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FD99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196988" w14:paraId="22F3613C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025D8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8B42" w14:textId="77777777" w:rsidR="00196988" w:rsidRPr="00C15ABB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96988" w14:paraId="29DA601E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5F0D1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80B5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4,5</w:t>
            </w:r>
          </w:p>
        </w:tc>
      </w:tr>
      <w:tr w:rsidR="00196988" w14:paraId="4D5DD6A1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639DD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69A65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3FFB256" w14:textId="77777777" w:rsidR="00196988" w:rsidRDefault="00196988" w:rsidP="00196988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23694A89" w14:textId="77777777" w:rsidR="00196988" w:rsidRDefault="00196988" w:rsidP="00196988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sz w:val="26"/>
          <w:szCs w:val="26"/>
        </w:rPr>
      </w:pPr>
      <w:r w:rsidRPr="00AF0312">
        <w:rPr>
          <w:rFonts w:ascii="Times New Roman" w:hAnsi="Times New Roman"/>
          <w:b/>
          <w:sz w:val="26"/>
          <w:szCs w:val="26"/>
        </w:rPr>
        <w:lastRenderedPageBreak/>
        <w:t>с. Фурмановка, ул. Жукова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196988" w14:paraId="698049C1" w14:textId="77777777" w:rsidTr="00440B62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D3394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06505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196988" w14:paraId="60E62E85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6240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83C18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196988" w14:paraId="1D9E2114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3A14B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FB98D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0,460</w:t>
            </w:r>
          </w:p>
        </w:tc>
      </w:tr>
      <w:tr w:rsidR="00196988" w14:paraId="4962035C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7C159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5F4D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196988" w14:paraId="276C9AEB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7B9F6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EE88" w14:textId="77777777" w:rsidR="00196988" w:rsidRPr="00C15ABB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96988" w14:paraId="39DD8D68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FF61A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F6EC" w14:textId="77777777" w:rsidR="00196988" w:rsidRDefault="00196988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4,5</w:t>
            </w:r>
          </w:p>
        </w:tc>
      </w:tr>
      <w:tr w:rsidR="00196988" w14:paraId="5906D95E" w14:textId="77777777" w:rsidTr="00440B62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6A82D" w14:textId="77777777" w:rsidR="00196988" w:rsidRDefault="00196988" w:rsidP="00440B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E6E35" w14:textId="77777777" w:rsidR="00196988" w:rsidRDefault="00196988" w:rsidP="00440B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0472A81F" w14:textId="77777777" w:rsidR="00AF552F" w:rsidRDefault="00AF552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3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41D1E0E9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321B9A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7648DB61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321B9A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2710C6FF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321B9A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53FCB7D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321B9A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6CE4855A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321B9A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321B9A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808440E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321B9A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</w:t>
      </w:r>
      <w:r w:rsidR="00E63952" w:rsidRPr="0073394B">
        <w:rPr>
          <w:szCs w:val="24"/>
        </w:rPr>
        <w:lastRenderedPageBreak/>
        <w:t>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DC7DDD2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196988" w:rsidRPr="00196988">
        <w:rPr>
          <w:lang w:val="x-none" w:eastAsia="x-none"/>
        </w:rPr>
        <w:t>Ремонт улично-дорожной сети муниципального образования Бахчисарайский район Республики Крым. 1-ый этап в 2026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166F665" w14:textId="66072B19" w:rsidR="00321B9A" w:rsidRDefault="00321B9A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4D8742D7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321B9A">
      <w:headerReference w:type="default" r:id="rId18"/>
      <w:footerReference w:type="default" r:id="rId19"/>
      <w:pgSz w:w="11906" w:h="16838"/>
      <w:pgMar w:top="426" w:right="707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84168" w14:textId="77777777" w:rsidR="005F0D9D" w:rsidRDefault="005F0D9D" w:rsidP="00C67861">
      <w:r>
        <w:separator/>
      </w:r>
    </w:p>
  </w:endnote>
  <w:endnote w:type="continuationSeparator" w:id="0">
    <w:p w14:paraId="1F1A3E97" w14:textId="77777777" w:rsidR="005F0D9D" w:rsidRDefault="005F0D9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65500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40F4F" w14:textId="77777777" w:rsidR="005F0D9D" w:rsidRDefault="005F0D9D" w:rsidP="00C67861">
      <w:r>
        <w:separator/>
      </w:r>
    </w:p>
  </w:footnote>
  <w:footnote w:type="continuationSeparator" w:id="0">
    <w:p w14:paraId="088EF592" w14:textId="77777777" w:rsidR="005F0D9D" w:rsidRDefault="005F0D9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A5F"/>
    <w:multiLevelType w:val="hybridMultilevel"/>
    <w:tmpl w:val="6D0E492E"/>
    <w:lvl w:ilvl="0" w:tplc="81E81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19EE"/>
    <w:multiLevelType w:val="hybridMultilevel"/>
    <w:tmpl w:val="6D0E492E"/>
    <w:lvl w:ilvl="0" w:tplc="81E81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2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3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96988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9A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32E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0D9D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52F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491A"/>
    <w:rsid w:val="00D02221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19E4"/>
    <w:rsid w:val="00EA750E"/>
    <w:rsid w:val="00EA794C"/>
    <w:rsid w:val="00EB0199"/>
    <w:rsid w:val="00EC2821"/>
    <w:rsid w:val="00EC35EA"/>
    <w:rsid w:val="00EC5F61"/>
    <w:rsid w:val="00EC6613"/>
    <w:rsid w:val="00ED3736"/>
    <w:rsid w:val="00ED59E1"/>
    <w:rsid w:val="00ED6862"/>
    <w:rsid w:val="00EE0332"/>
    <w:rsid w:val="00EF500A"/>
    <w:rsid w:val="00F06F07"/>
    <w:rsid w:val="00F130AE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21B9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2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E475-C116-4A8B-A359-F6BDBEC3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6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111</cp:revision>
  <cp:lastPrinted>2026-03-27T13:02:00Z</cp:lastPrinted>
  <dcterms:created xsi:type="dcterms:W3CDTF">2023-02-15T13:43:00Z</dcterms:created>
  <dcterms:modified xsi:type="dcterms:W3CDTF">2026-03-27T13:03:00Z</dcterms:modified>
</cp:coreProperties>
</file>