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19D7" w14:textId="49EF963A" w:rsidR="006C37A5" w:rsidRPr="00F46112" w:rsidRDefault="006C37A5" w:rsidP="006C37A5">
      <w:pPr>
        <w:tabs>
          <w:tab w:val="left" w:pos="-284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right"/>
        <w:rPr>
          <w:rFonts w:eastAsiaTheme="minorEastAsia"/>
        </w:rPr>
      </w:pPr>
      <w:r w:rsidRPr="00F46112">
        <w:rPr>
          <w:rFonts w:eastAsiaTheme="minorEastAsia"/>
        </w:rPr>
        <w:t xml:space="preserve">Приложение № </w:t>
      </w:r>
      <w:r>
        <w:rPr>
          <w:rFonts w:eastAsiaTheme="minorEastAsia"/>
        </w:rPr>
        <w:t>9</w:t>
      </w:r>
    </w:p>
    <w:p w14:paraId="0D62005C" w14:textId="77777777" w:rsidR="006C37A5" w:rsidRPr="00F46112" w:rsidRDefault="006C37A5" w:rsidP="006C37A5">
      <w:pPr>
        <w:tabs>
          <w:tab w:val="left" w:pos="-284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right"/>
        <w:rPr>
          <w:rFonts w:eastAsiaTheme="minorEastAsia"/>
        </w:rPr>
      </w:pPr>
      <w:r w:rsidRPr="00F46112">
        <w:rPr>
          <w:rFonts w:eastAsiaTheme="minorEastAsia"/>
        </w:rPr>
        <w:t>к государственному контракту</w:t>
      </w:r>
    </w:p>
    <w:p w14:paraId="03B48631" w14:textId="1E2BFB94" w:rsidR="006C37A5" w:rsidRPr="00F46112" w:rsidRDefault="006C37A5" w:rsidP="006C37A5">
      <w:pPr>
        <w:tabs>
          <w:tab w:val="left" w:pos="-284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right"/>
        <w:rPr>
          <w:rFonts w:eastAsiaTheme="minorEastAsia"/>
        </w:rPr>
      </w:pPr>
      <w:r w:rsidRPr="00F46112">
        <w:rPr>
          <w:rFonts w:eastAsiaTheme="minorEastAsia"/>
        </w:rPr>
        <w:t>№__________/2</w:t>
      </w:r>
      <w:r w:rsidR="007C635B">
        <w:rPr>
          <w:rFonts w:eastAsiaTheme="minorEastAsia"/>
        </w:rPr>
        <w:t>5</w:t>
      </w:r>
      <w:r w:rsidRPr="00F46112">
        <w:rPr>
          <w:rFonts w:eastAsiaTheme="minorEastAsia"/>
        </w:rPr>
        <w:t>-СМР</w:t>
      </w:r>
    </w:p>
    <w:p w14:paraId="3F8CC531" w14:textId="167F9857" w:rsidR="006C37A5" w:rsidRPr="00F46112" w:rsidRDefault="006C37A5" w:rsidP="006C37A5">
      <w:pPr>
        <w:tabs>
          <w:tab w:val="left" w:pos="-284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right"/>
        <w:rPr>
          <w:rFonts w:eastAsiaTheme="minorEastAsia"/>
          <w:b/>
          <w:bCs/>
        </w:rPr>
      </w:pPr>
      <w:r w:rsidRPr="00F46112">
        <w:rPr>
          <w:rFonts w:eastAsiaTheme="minorEastAsia"/>
        </w:rPr>
        <w:t>от «____» _______________ 202</w:t>
      </w:r>
      <w:r w:rsidR="007C635B">
        <w:rPr>
          <w:rFonts w:eastAsiaTheme="minorEastAsia"/>
        </w:rPr>
        <w:t>5</w:t>
      </w:r>
      <w:r w:rsidRPr="00F46112">
        <w:rPr>
          <w:rFonts w:eastAsiaTheme="minorEastAsia"/>
        </w:rPr>
        <w:t xml:space="preserve"> г.</w:t>
      </w:r>
    </w:p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4C1C7A76" w14:textId="439FDCFC" w:rsidR="00447159" w:rsidRPr="00952821" w:rsidRDefault="00447159" w:rsidP="00447159">
      <w:pPr>
        <w:jc w:val="center"/>
        <w:rPr>
          <w:b/>
        </w:rPr>
      </w:pPr>
      <w:r w:rsidRPr="00952821">
        <w:rPr>
          <w:b/>
        </w:rPr>
        <w:t>Т</w:t>
      </w:r>
      <w:r w:rsidR="00EE0332" w:rsidRPr="00952821">
        <w:rPr>
          <w:b/>
        </w:rPr>
        <w:t>ЕХНИЧЕСКОЕ ЗАДАНИЕ</w:t>
      </w:r>
    </w:p>
    <w:p w14:paraId="3C5D4496" w14:textId="5125C61B" w:rsidR="00CF491A" w:rsidRPr="00952821" w:rsidRDefault="00BC1E49" w:rsidP="00497A4E">
      <w:pPr>
        <w:jc w:val="center"/>
      </w:pPr>
      <w:r w:rsidRPr="00952821">
        <w:t>на выполнение</w:t>
      </w:r>
      <w:r w:rsidR="004B753F" w:rsidRPr="00952821">
        <w:t xml:space="preserve"> </w:t>
      </w:r>
      <w:r w:rsidR="00E92E66" w:rsidRPr="00952821">
        <w:t xml:space="preserve">строительно-монтажных работ </w:t>
      </w:r>
      <w:r w:rsidR="003E2D59">
        <w:t>на</w:t>
      </w:r>
      <w:r w:rsidR="00CF491A" w:rsidRPr="00952821">
        <w:t xml:space="preserve"> объект</w:t>
      </w:r>
      <w:r w:rsidR="003E2D59">
        <w:t>е</w:t>
      </w:r>
      <w:r w:rsidR="004B753F" w:rsidRPr="00952821">
        <w:t>:</w:t>
      </w:r>
      <w:bookmarkStart w:id="0" w:name="_Hlk45898810"/>
    </w:p>
    <w:bookmarkEnd w:id="0"/>
    <w:p w14:paraId="01F0C363" w14:textId="75D08BBA" w:rsidR="004C597D" w:rsidRPr="00952821" w:rsidRDefault="00ED7D4B" w:rsidP="004C597D">
      <w:pPr>
        <w:pStyle w:val="a3"/>
        <w:tabs>
          <w:tab w:val="left" w:pos="4170"/>
        </w:tabs>
        <w:jc w:val="center"/>
        <w:rPr>
          <w:szCs w:val="24"/>
        </w:rPr>
      </w:pPr>
      <w:r w:rsidRPr="00952821">
        <w:rPr>
          <w:szCs w:val="24"/>
        </w:rPr>
        <w:t>«</w:t>
      </w:r>
      <w:r w:rsidR="003E2D59" w:rsidRPr="00B173EC">
        <w:rPr>
          <w:color w:val="000000"/>
          <w:szCs w:val="24"/>
        </w:rPr>
        <w:t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35Н-228 Красный партизан-Удачное (с. Красный Партизан)</w:t>
      </w:r>
      <w:r w:rsidRPr="00952821">
        <w:rPr>
          <w:szCs w:val="24"/>
        </w:rPr>
        <w:t>»</w:t>
      </w:r>
    </w:p>
    <w:p w14:paraId="383BBC4E" w14:textId="77777777" w:rsidR="00E5139C" w:rsidRPr="00952821" w:rsidRDefault="00E5139C" w:rsidP="00103857">
      <w:pPr>
        <w:pStyle w:val="a3"/>
        <w:tabs>
          <w:tab w:val="left" w:pos="4170"/>
        </w:tabs>
        <w:spacing w:after="0"/>
        <w:rPr>
          <w:szCs w:val="24"/>
        </w:rPr>
      </w:pPr>
    </w:p>
    <w:p w14:paraId="032E5F3B" w14:textId="77777777" w:rsidR="00F6701C" w:rsidRPr="0095282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952821">
        <w:rPr>
          <w:b/>
          <w:szCs w:val="24"/>
        </w:rPr>
        <w:t>Основание для выполнения работ:</w:t>
      </w:r>
    </w:p>
    <w:p w14:paraId="7E156D68" w14:textId="26C59367" w:rsidR="007B77BB" w:rsidRPr="00952821" w:rsidRDefault="007C635B" w:rsidP="007B77BB">
      <w:pPr>
        <w:ind w:left="426"/>
        <w:jc w:val="both"/>
        <w:rPr>
          <w:highlight w:val="yellow"/>
        </w:rPr>
      </w:pPr>
      <w:r w:rsidRPr="007C635B">
        <w:t>Распоряжение Совета министров Республики Крым от 27.11.2024 № 2197-р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45AA28F7" w14:textId="77777777" w:rsidR="00DA06F1" w:rsidRPr="0095282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952821">
        <w:rPr>
          <w:b/>
          <w:szCs w:val="24"/>
        </w:rPr>
        <w:t xml:space="preserve">Цели выполнения работ по </w:t>
      </w:r>
      <w:r w:rsidR="00C67861" w:rsidRPr="00952821">
        <w:rPr>
          <w:b/>
          <w:szCs w:val="24"/>
        </w:rPr>
        <w:t>объекту</w:t>
      </w:r>
      <w:r w:rsidRPr="00952821">
        <w:rPr>
          <w:b/>
          <w:szCs w:val="24"/>
        </w:rPr>
        <w:t>:</w:t>
      </w:r>
      <w:r w:rsidRPr="00952821">
        <w:rPr>
          <w:szCs w:val="24"/>
        </w:rPr>
        <w:t xml:space="preserve"> </w:t>
      </w:r>
    </w:p>
    <w:p w14:paraId="62C58BC0" w14:textId="14E170EB" w:rsidR="002E25E7" w:rsidRPr="00952821" w:rsidRDefault="00F97114" w:rsidP="00E92E66">
      <w:pPr>
        <w:pStyle w:val="a3"/>
        <w:spacing w:after="0"/>
        <w:ind w:left="426" w:firstLine="282"/>
        <w:jc w:val="both"/>
        <w:rPr>
          <w:spacing w:val="-1"/>
          <w:szCs w:val="24"/>
        </w:rPr>
      </w:pPr>
      <w:r w:rsidRPr="00952821">
        <w:rPr>
          <w:szCs w:val="24"/>
        </w:rPr>
        <w:t>Выполнение строительно-монтажных работ на объекте, повышение безопасности дорожного движения и установлении обязательных требований в части устройства стационарного электрического освещения на автомобильных дорогах Республики Крым.</w:t>
      </w:r>
    </w:p>
    <w:p w14:paraId="2863CD1F" w14:textId="77777777" w:rsidR="00F6701C" w:rsidRPr="00952821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1F859A6" w14:textId="0F541985" w:rsidR="00F6701C" w:rsidRPr="0095282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Исходные данные:</w:t>
      </w:r>
    </w:p>
    <w:p w14:paraId="17C0F4E2" w14:textId="051C6D27" w:rsidR="00F6701C" w:rsidRPr="00952821" w:rsidRDefault="002D455B" w:rsidP="002D455B">
      <w:pPr>
        <w:pStyle w:val="a3"/>
        <w:spacing w:after="0"/>
        <w:ind w:left="426" w:firstLine="283"/>
        <w:jc w:val="both"/>
        <w:rPr>
          <w:szCs w:val="24"/>
        </w:rPr>
      </w:pPr>
      <w:r w:rsidRPr="00952821">
        <w:rPr>
          <w:szCs w:val="24"/>
        </w:rPr>
        <w:t xml:space="preserve">Положительное заключение ГАУ РК «Государственная строительная экспертиза» от </w:t>
      </w:r>
      <w:r w:rsidR="00A826A3">
        <w:rPr>
          <w:szCs w:val="24"/>
        </w:rPr>
        <w:t>2</w:t>
      </w:r>
      <w:r w:rsidR="003E2D59">
        <w:rPr>
          <w:szCs w:val="24"/>
        </w:rPr>
        <w:t>3</w:t>
      </w:r>
      <w:r w:rsidRPr="00952821">
        <w:rPr>
          <w:szCs w:val="24"/>
        </w:rPr>
        <w:t>.</w:t>
      </w:r>
      <w:r w:rsidR="001F0BEE">
        <w:rPr>
          <w:szCs w:val="24"/>
        </w:rPr>
        <w:t>0</w:t>
      </w:r>
      <w:r w:rsidR="003E2D59">
        <w:rPr>
          <w:szCs w:val="24"/>
        </w:rPr>
        <w:t>9</w:t>
      </w:r>
      <w:r w:rsidRPr="00952821">
        <w:rPr>
          <w:szCs w:val="24"/>
        </w:rPr>
        <w:t>.202</w:t>
      </w:r>
      <w:r w:rsidR="003E2D59">
        <w:rPr>
          <w:szCs w:val="24"/>
        </w:rPr>
        <w:t>3</w:t>
      </w:r>
      <w:r w:rsidRPr="00952821">
        <w:rPr>
          <w:szCs w:val="24"/>
        </w:rPr>
        <w:t xml:space="preserve"> № 91-1-1-3-</w:t>
      </w:r>
      <w:r w:rsidR="00A826A3">
        <w:rPr>
          <w:szCs w:val="24"/>
        </w:rPr>
        <w:t>0</w:t>
      </w:r>
      <w:r w:rsidR="003E2D59">
        <w:rPr>
          <w:szCs w:val="24"/>
        </w:rPr>
        <w:t>56860</w:t>
      </w:r>
      <w:r w:rsidRPr="00952821">
        <w:rPr>
          <w:szCs w:val="24"/>
        </w:rPr>
        <w:t>-202</w:t>
      </w:r>
      <w:r w:rsidR="003E2D59">
        <w:rPr>
          <w:szCs w:val="24"/>
        </w:rPr>
        <w:t>3</w:t>
      </w:r>
    </w:p>
    <w:p w14:paraId="3FE35581" w14:textId="77777777" w:rsidR="00F6701C" w:rsidRPr="00952821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0C1F0422" w14:textId="77777777" w:rsidR="00C67861" w:rsidRPr="0095282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52821">
        <w:rPr>
          <w:rFonts w:ascii="Times New Roman" w:hAnsi="Times New Roman"/>
          <w:b/>
          <w:sz w:val="24"/>
          <w:szCs w:val="24"/>
        </w:rPr>
        <w:t>Те</w:t>
      </w:r>
      <w:r w:rsidR="00EE0332" w:rsidRPr="00952821">
        <w:rPr>
          <w:rFonts w:ascii="Times New Roman" w:hAnsi="Times New Roman"/>
          <w:b/>
          <w:sz w:val="24"/>
          <w:szCs w:val="24"/>
        </w:rPr>
        <w:t>х</w:t>
      </w:r>
      <w:r w:rsidR="004B753F" w:rsidRPr="00952821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952821">
        <w:rPr>
          <w:rFonts w:ascii="Times New Roman" w:hAnsi="Times New Roman"/>
          <w:b/>
          <w:sz w:val="24"/>
          <w:szCs w:val="24"/>
        </w:rPr>
        <w:t>:</w:t>
      </w:r>
    </w:p>
    <w:p w14:paraId="26C1E98B" w14:textId="478A688D" w:rsidR="00247214" w:rsidRPr="00952821" w:rsidRDefault="00F43C19" w:rsidP="00E92E66">
      <w:pPr>
        <w:pStyle w:val="a3"/>
        <w:tabs>
          <w:tab w:val="left" w:pos="4170"/>
        </w:tabs>
        <w:ind w:left="426" w:firstLine="283"/>
        <w:jc w:val="both"/>
        <w:rPr>
          <w:iCs/>
          <w:szCs w:val="24"/>
        </w:rPr>
      </w:pPr>
      <w:r w:rsidRPr="00952821">
        <w:rPr>
          <w:iCs/>
          <w:szCs w:val="24"/>
        </w:rPr>
        <w:t>«</w:t>
      </w:r>
      <w:r w:rsidR="003E2D59" w:rsidRPr="00B173EC">
        <w:rPr>
          <w:color w:val="000000"/>
          <w:szCs w:val="24"/>
        </w:rPr>
        <w:t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35Н-228 Красный партизан-Удачное (с. Красный Партизан)</w:t>
      </w:r>
      <w:r w:rsidR="00ED7D4B" w:rsidRPr="00952821">
        <w:rPr>
          <w:iCs/>
          <w:szCs w:val="24"/>
        </w:rPr>
        <w:t>»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99"/>
        <w:gridCol w:w="1142"/>
        <w:gridCol w:w="2399"/>
      </w:tblGrid>
      <w:tr w:rsidR="008F2B7A" w:rsidRPr="00952821" w14:paraId="5D454EF1" w14:textId="77777777" w:rsidTr="008F2B7A">
        <w:tc>
          <w:tcPr>
            <w:tcW w:w="850" w:type="dxa"/>
          </w:tcPr>
          <w:p w14:paraId="7FCE86F4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№ п/п</w:t>
            </w:r>
          </w:p>
        </w:tc>
        <w:tc>
          <w:tcPr>
            <w:tcW w:w="5099" w:type="dxa"/>
            <w:vAlign w:val="center"/>
          </w:tcPr>
          <w:p w14:paraId="311C4237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Наименование показателей</w:t>
            </w:r>
          </w:p>
        </w:tc>
        <w:tc>
          <w:tcPr>
            <w:tcW w:w="1142" w:type="dxa"/>
            <w:vAlign w:val="center"/>
          </w:tcPr>
          <w:p w14:paraId="24251053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Ед. изм.</w:t>
            </w:r>
          </w:p>
        </w:tc>
        <w:tc>
          <w:tcPr>
            <w:tcW w:w="2399" w:type="dxa"/>
            <w:vAlign w:val="center"/>
          </w:tcPr>
          <w:p w14:paraId="3CEFF98C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Значение</w:t>
            </w:r>
          </w:p>
        </w:tc>
      </w:tr>
      <w:tr w:rsidR="003E2D59" w:rsidRPr="00952821" w14:paraId="6F40EF2B" w14:textId="77777777" w:rsidTr="002D455B">
        <w:tc>
          <w:tcPr>
            <w:tcW w:w="850" w:type="dxa"/>
            <w:vAlign w:val="center"/>
          </w:tcPr>
          <w:p w14:paraId="46F260A5" w14:textId="77777777" w:rsidR="003E2D59" w:rsidRPr="00952821" w:rsidRDefault="003E2D59" w:rsidP="003E2D59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1</w:t>
            </w:r>
          </w:p>
        </w:tc>
        <w:tc>
          <w:tcPr>
            <w:tcW w:w="5099" w:type="dxa"/>
          </w:tcPr>
          <w:p w14:paraId="5B7285C3" w14:textId="52E7837C" w:rsidR="003E2D59" w:rsidRPr="00952821" w:rsidRDefault="003E2D59" w:rsidP="003E2D59">
            <w:pPr>
              <w:ind w:right="227"/>
            </w:pPr>
            <w:proofErr w:type="spellStart"/>
            <w:r>
              <w:t>Протженность</w:t>
            </w:r>
            <w:proofErr w:type="spellEnd"/>
          </w:p>
        </w:tc>
        <w:tc>
          <w:tcPr>
            <w:tcW w:w="1142" w:type="dxa"/>
            <w:vAlign w:val="center"/>
          </w:tcPr>
          <w:p w14:paraId="5382724A" w14:textId="6719264F" w:rsidR="003E2D59" w:rsidRPr="00952821" w:rsidRDefault="003E2D59" w:rsidP="003E2D59">
            <w:pPr>
              <w:ind w:right="227"/>
              <w:jc w:val="center"/>
            </w:pPr>
            <w:r>
              <w:t>м</w:t>
            </w:r>
          </w:p>
        </w:tc>
        <w:tc>
          <w:tcPr>
            <w:tcW w:w="2399" w:type="dxa"/>
            <w:vAlign w:val="center"/>
          </w:tcPr>
          <w:p w14:paraId="4E6762AA" w14:textId="4414BDBF" w:rsidR="003E2D59" w:rsidRPr="00952821" w:rsidRDefault="003E2D59" w:rsidP="003E2D59">
            <w:pPr>
              <w:ind w:right="227"/>
              <w:jc w:val="center"/>
            </w:pPr>
            <w:r>
              <w:t>927,5</w:t>
            </w:r>
          </w:p>
        </w:tc>
      </w:tr>
      <w:tr w:rsidR="003E2D59" w:rsidRPr="00952821" w14:paraId="55A7D4A1" w14:textId="77777777" w:rsidTr="002D455B">
        <w:tc>
          <w:tcPr>
            <w:tcW w:w="850" w:type="dxa"/>
            <w:vAlign w:val="center"/>
          </w:tcPr>
          <w:p w14:paraId="2924358A" w14:textId="77777777" w:rsidR="003E2D59" w:rsidRPr="00952821" w:rsidRDefault="003E2D59" w:rsidP="003E2D59">
            <w:pPr>
              <w:tabs>
                <w:tab w:val="left" w:pos="1168"/>
              </w:tabs>
              <w:ind w:right="57"/>
              <w:jc w:val="center"/>
            </w:pPr>
            <w:r w:rsidRPr="00952821">
              <w:t>2</w:t>
            </w:r>
          </w:p>
        </w:tc>
        <w:tc>
          <w:tcPr>
            <w:tcW w:w="5099" w:type="dxa"/>
          </w:tcPr>
          <w:p w14:paraId="6D26BEC7" w14:textId="6330A731" w:rsidR="003E2D59" w:rsidRPr="00952821" w:rsidRDefault="003E2D59" w:rsidP="003E2D59">
            <w:pPr>
              <w:ind w:right="227"/>
            </w:pPr>
            <w:proofErr w:type="spellStart"/>
            <w:r>
              <w:t>Количетво</w:t>
            </w:r>
            <w:proofErr w:type="spellEnd"/>
            <w:r>
              <w:t xml:space="preserve"> опор наружного освещения</w:t>
            </w:r>
          </w:p>
        </w:tc>
        <w:tc>
          <w:tcPr>
            <w:tcW w:w="1142" w:type="dxa"/>
            <w:vAlign w:val="center"/>
          </w:tcPr>
          <w:p w14:paraId="0271DBB9" w14:textId="5A3AE5A0" w:rsidR="003E2D59" w:rsidRPr="00952821" w:rsidRDefault="003E2D59" w:rsidP="003E2D59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  <w:vAlign w:val="center"/>
          </w:tcPr>
          <w:p w14:paraId="6506EC65" w14:textId="32AF45F1" w:rsidR="003E2D59" w:rsidRPr="003E2D59" w:rsidRDefault="003E2D59" w:rsidP="003E2D59">
            <w:pPr>
              <w:ind w:right="227"/>
              <w:jc w:val="center"/>
            </w:pPr>
            <w:r>
              <w:t>32</w:t>
            </w:r>
          </w:p>
        </w:tc>
      </w:tr>
      <w:tr w:rsidR="003E2D59" w:rsidRPr="00952821" w14:paraId="4A43F31C" w14:textId="77777777" w:rsidTr="002D455B">
        <w:tc>
          <w:tcPr>
            <w:tcW w:w="850" w:type="dxa"/>
            <w:vAlign w:val="center"/>
          </w:tcPr>
          <w:p w14:paraId="22951196" w14:textId="77777777" w:rsidR="003E2D59" w:rsidRPr="00952821" w:rsidRDefault="003E2D59" w:rsidP="003E2D59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3</w:t>
            </w:r>
          </w:p>
        </w:tc>
        <w:tc>
          <w:tcPr>
            <w:tcW w:w="5099" w:type="dxa"/>
          </w:tcPr>
          <w:p w14:paraId="4BD06CF3" w14:textId="58DD131E" w:rsidR="003E2D59" w:rsidRPr="00952821" w:rsidRDefault="003E2D59" w:rsidP="003E2D59">
            <w:pPr>
              <w:ind w:right="227"/>
            </w:pPr>
            <w:r>
              <w:t>Количество светильников</w:t>
            </w:r>
          </w:p>
        </w:tc>
        <w:tc>
          <w:tcPr>
            <w:tcW w:w="1142" w:type="dxa"/>
            <w:vAlign w:val="center"/>
          </w:tcPr>
          <w:p w14:paraId="15F08EBB" w14:textId="72282F04" w:rsidR="003E2D59" w:rsidRPr="00952821" w:rsidRDefault="003E2D59" w:rsidP="003E2D59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</w:tcPr>
          <w:p w14:paraId="48A0575A" w14:textId="0C237889" w:rsidR="003E2D59" w:rsidRPr="00EF0500" w:rsidRDefault="003E2D59" w:rsidP="003E2D59">
            <w:pPr>
              <w:ind w:right="227"/>
              <w:jc w:val="center"/>
              <w:rPr>
                <w:lang w:val="en-US"/>
              </w:rPr>
            </w:pPr>
            <w:r>
              <w:t>31</w:t>
            </w:r>
          </w:p>
        </w:tc>
      </w:tr>
    </w:tbl>
    <w:p w14:paraId="194741B5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Сроки выполнения работ:</w:t>
      </w:r>
    </w:p>
    <w:p w14:paraId="5DB06969" w14:textId="665C44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До </w:t>
      </w:r>
      <w:r w:rsidR="002D455B" w:rsidRPr="00952821">
        <w:rPr>
          <w:b/>
          <w:szCs w:val="24"/>
        </w:rPr>
        <w:t>1</w:t>
      </w:r>
      <w:r w:rsidRPr="00952821">
        <w:rPr>
          <w:b/>
          <w:szCs w:val="24"/>
        </w:rPr>
        <w:t xml:space="preserve"> </w:t>
      </w:r>
      <w:r w:rsidR="002D455B" w:rsidRPr="00952821">
        <w:rPr>
          <w:b/>
          <w:szCs w:val="24"/>
        </w:rPr>
        <w:t>ноября</w:t>
      </w:r>
      <w:r w:rsidRPr="00952821">
        <w:rPr>
          <w:b/>
          <w:szCs w:val="24"/>
        </w:rPr>
        <w:t xml:space="preserve"> 202</w:t>
      </w:r>
      <w:r w:rsidR="002D455B" w:rsidRPr="00952821">
        <w:rPr>
          <w:b/>
          <w:szCs w:val="24"/>
        </w:rPr>
        <w:t>5</w:t>
      </w:r>
      <w:r w:rsidRPr="00952821">
        <w:rPr>
          <w:szCs w:val="24"/>
        </w:rPr>
        <w:t xml:space="preserve"> года.</w:t>
      </w:r>
    </w:p>
    <w:p w14:paraId="53C8C4E0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Общие требования.</w:t>
      </w:r>
    </w:p>
    <w:p w14:paraId="58359626" w14:textId="77777777" w:rsidR="00035111" w:rsidRPr="00952821" w:rsidRDefault="00035111" w:rsidP="00035111">
      <w:pPr>
        <w:pStyle w:val="a3"/>
        <w:ind w:left="426"/>
        <w:jc w:val="both"/>
        <w:rPr>
          <w:b/>
          <w:szCs w:val="24"/>
        </w:rPr>
      </w:pPr>
      <w:r w:rsidRPr="00952821">
        <w:rPr>
          <w:b/>
          <w:szCs w:val="24"/>
        </w:rPr>
        <w:t>Основные задачи Подрядчика:</w:t>
      </w:r>
    </w:p>
    <w:p w14:paraId="1ACE024E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1.</w:t>
      </w:r>
      <w:r w:rsidRPr="00952821">
        <w:rPr>
          <w:szCs w:val="24"/>
        </w:rPr>
        <w:t xml:space="preserve"> 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2.</w:t>
      </w:r>
      <w:r w:rsidRPr="00952821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32DF672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F84A00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Направить в региональное/местное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3.</w:t>
      </w:r>
      <w:r w:rsidRPr="00952821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 w:rsidRPr="00952821">
        <w:rPr>
          <w:szCs w:val="24"/>
        </w:rPr>
        <w:t>19</w:t>
      </w:r>
      <w:r w:rsidRPr="00952821">
        <w:rPr>
          <w:szCs w:val="24"/>
        </w:rPr>
        <w:t xml:space="preserve">. </w:t>
      </w:r>
    </w:p>
    <w:p w14:paraId="2776DBD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Места производства работ обустроить в соответствии с рекомендацией по организации движения и ограждению мест производства дорожных работ ОДМ 218.6.019-2016 (Приложение В) и техническими требованиями ГОСТ Р 52290-2004, на которых указывается следующая информация: вид работ, наименование объекта, сроки начала и окончания работ, наименование Заказчика, Подрядчика, Ф.И.О. и контактный телефон производителя работ.</w:t>
      </w:r>
    </w:p>
    <w:p w14:paraId="15DBCA6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4.</w:t>
      </w:r>
      <w:r w:rsidRPr="00952821">
        <w:rPr>
          <w:szCs w:val="24"/>
        </w:rPr>
        <w:t xml:space="preserve"> Изготовить и установить за свой счет, с обеих сторон объекта, улицы, информационные щиты на желтом фоне, шрифтом в соответствии с ОДМ 218.6.019-2016 (Приложение В) и ГОСТ Р 52290-2004. Эскиз и параметры размера согласовываются Заказчиком (уполномоченным сотрудником).</w:t>
      </w:r>
    </w:p>
    <w:p w14:paraId="2BF187D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5.</w:t>
      </w:r>
      <w:r w:rsidRPr="00952821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 (далее - ППР). ППР должен содержать такие разделы как:</w:t>
      </w:r>
    </w:p>
    <w:p w14:paraId="6BF557E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Пояснительная записка;</w:t>
      </w:r>
    </w:p>
    <w:p w14:paraId="3E3A7BC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Технико-экономические показатели объекта;</w:t>
      </w:r>
    </w:p>
    <w:p w14:paraId="64AC78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График выполнения строительно-монтажных работ/Календарный график;</w:t>
      </w:r>
    </w:p>
    <w:p w14:paraId="47A74BC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Технологические карты (схемы) на выполнение отдельных видов работ, скрытых работ, конструктивных элементов, ответственных конструкций;</w:t>
      </w:r>
    </w:p>
    <w:p w14:paraId="7812CF8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Проект производства работ кранами;</w:t>
      </w:r>
    </w:p>
    <w:p w14:paraId="04B1789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Расчет потребности в основных материалах, людях, механизмах, исходя из физических объемов на объекте;</w:t>
      </w:r>
    </w:p>
    <w:p w14:paraId="276D0C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Приказы на ответственных лиц Подрядчика;</w:t>
      </w:r>
    </w:p>
    <w:p w14:paraId="3EF82F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карт подбора бетонных смесей;</w:t>
      </w:r>
    </w:p>
    <w:p w14:paraId="52410E51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рецептов на приготовление асфальтобетонных смесей.</w:t>
      </w:r>
    </w:p>
    <w:p w14:paraId="24CF147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ППР Заказчиком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750E74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6.</w:t>
      </w:r>
      <w:r w:rsidRPr="00952821">
        <w:rPr>
          <w:szCs w:val="24"/>
        </w:rPr>
        <w:t xml:space="preserve"> Обеспечить, в ходе выполнения работ, на строительной площадке (полосе отвода, придорожной полосе)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 и ППР.</w:t>
      </w:r>
    </w:p>
    <w:p w14:paraId="35C67F8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7.</w:t>
      </w:r>
      <w:r w:rsidRPr="00952821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lastRenderedPageBreak/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8.</w:t>
      </w:r>
      <w:r w:rsidRPr="00952821">
        <w:rPr>
          <w:szCs w:val="24"/>
        </w:rPr>
        <w:t xml:space="preserve"> Обеспечить оформление документации (заключение договоров, составление актов, формирование счетов-фактур, получение справок и т.д.), подтверждающих образование/передачу отходов, образовавшихся в процессе выполнения строительно-монтажных работ, организациям.</w:t>
      </w:r>
    </w:p>
    <w:p w14:paraId="2EF55C5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9.</w:t>
      </w:r>
      <w:r w:rsidRPr="00952821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 за границами строительной площадки, занимаемой на период производства работ,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10.</w:t>
      </w:r>
      <w:r w:rsidRPr="00952821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работ/сметой контракта. Обеспечить складирование и хранение материалов и изделий в местах согласно СНиП 12-03-2001.</w:t>
      </w:r>
    </w:p>
    <w:p w14:paraId="78B655CC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11.</w:t>
      </w:r>
      <w:r w:rsidRPr="00952821">
        <w:rPr>
          <w:szCs w:val="24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материала.</w:t>
      </w:r>
    </w:p>
    <w:p w14:paraId="06067DA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12.</w:t>
      </w:r>
      <w:r w:rsidRPr="00952821">
        <w:rPr>
          <w:szCs w:val="24"/>
        </w:rPr>
        <w:t xml:space="preserve"> Обеспечить нахождение работников Подрядчика на объекте в средствах индивидуальной защиты и специальной одежде определенного образца оранжевого или зеленого цвета со </w:t>
      </w:r>
      <w:proofErr w:type="spellStart"/>
      <w:r w:rsidRPr="00952821">
        <w:rPr>
          <w:szCs w:val="24"/>
        </w:rPr>
        <w:t>световозвращающими</w:t>
      </w:r>
      <w:proofErr w:type="spellEnd"/>
      <w:r w:rsidRPr="00952821">
        <w:rPr>
          <w:szCs w:val="24"/>
        </w:rPr>
        <w:t xml:space="preserve"> материалами (ГОСТ 12.4.281-2014, ГОСТ 12.4.280-2014), с указанием фирменного наименования Подрядчика (логотипа, бренда).</w:t>
      </w:r>
    </w:p>
    <w:p w14:paraId="420F43F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13.</w:t>
      </w:r>
      <w:r w:rsidRPr="00952821">
        <w:rPr>
          <w:szCs w:val="24"/>
        </w:rPr>
        <w:t xml:space="preserve"> По требованию Заказчика предоставить транспорт для осуществления служебного выезда на объект, с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14.</w:t>
      </w:r>
      <w:r w:rsidRPr="00952821">
        <w:rPr>
          <w:szCs w:val="24"/>
        </w:rPr>
        <w:t xml:space="preserve"> 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15.</w:t>
      </w:r>
      <w:r w:rsidRPr="00952821">
        <w:rPr>
          <w:szCs w:val="24"/>
        </w:rPr>
        <w:t xml:space="preserve"> 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</w:t>
      </w:r>
      <w:r w:rsidRPr="00952821">
        <w:rPr>
          <w:szCs w:val="24"/>
        </w:rPr>
        <w:lastRenderedPageBreak/>
        <w:t>представителей Заказчика, эксплуатирующей организации, балансодержателя объекта, приглашенных специалистов для составления ведомости дефектов и мероприятий по их устранению.</w:t>
      </w:r>
    </w:p>
    <w:p w14:paraId="4BFE0C2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16.</w:t>
      </w:r>
      <w:r w:rsidRPr="00952821">
        <w:rPr>
          <w:szCs w:val="24"/>
        </w:rPr>
        <w:t xml:space="preserve"> 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17.</w:t>
      </w:r>
      <w:r w:rsidRPr="00952821">
        <w:rPr>
          <w:szCs w:val="24"/>
        </w:rPr>
        <w:t xml:space="preserve"> Производить фото-</w:t>
      </w:r>
      <w:proofErr w:type="spellStart"/>
      <w:r w:rsidRPr="00952821">
        <w:rPr>
          <w:szCs w:val="24"/>
        </w:rPr>
        <w:t>фидео</w:t>
      </w:r>
      <w:proofErr w:type="spellEnd"/>
      <w:r w:rsidRPr="00952821">
        <w:rPr>
          <w:szCs w:val="24"/>
        </w:rPr>
        <w:t xml:space="preserve"> съёмку объекта до начала строительно-монтажных работ, в том числе по каждому этапу и виду работ, а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 законченного объекта квадрокоптером, ее предоставление.</w:t>
      </w:r>
    </w:p>
    <w:p w14:paraId="4A50E30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18.</w:t>
      </w:r>
      <w:r w:rsidRPr="00952821">
        <w:rPr>
          <w:szCs w:val="24"/>
        </w:rPr>
        <w:t xml:space="preserve"> 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19.</w:t>
      </w:r>
      <w:r w:rsidRPr="00952821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 в срок не более чем 2 суток (48 часов) по каждой захватке, 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20.</w:t>
      </w:r>
      <w:r w:rsidRPr="00952821">
        <w:rPr>
          <w:szCs w:val="24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21.</w:t>
      </w:r>
      <w:r w:rsidRPr="00952821">
        <w:rPr>
          <w:szCs w:val="24"/>
        </w:rPr>
        <w:t xml:space="preserve"> 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792C743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22.</w:t>
      </w:r>
      <w:r w:rsidRPr="00952821">
        <w:rPr>
          <w:szCs w:val="24"/>
        </w:rPr>
        <w:t xml:space="preserve"> 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23.</w:t>
      </w:r>
      <w:r w:rsidRPr="00952821">
        <w:rPr>
          <w:szCs w:val="24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952821">
        <w:rPr>
          <w:szCs w:val="24"/>
        </w:rPr>
        <w:t>справочно</w:t>
      </w:r>
      <w:proofErr w:type="spellEnd"/>
      <w:r w:rsidRPr="00952821">
        <w:rPr>
          <w:szCs w:val="24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материала.</w:t>
      </w:r>
    </w:p>
    <w:p w14:paraId="70D0D765" w14:textId="77777777" w:rsidR="0003511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24.</w:t>
      </w:r>
      <w:r w:rsidRPr="00952821">
        <w:rPr>
          <w:szCs w:val="24"/>
        </w:rPr>
        <w:t xml:space="preserve"> Представлять запрашиваемую Заказчиком информацию в сроки, установленные в требованиях, письмах, уведомлениях.</w:t>
      </w:r>
    </w:p>
    <w:p w14:paraId="10CE041A" w14:textId="77777777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20217A">
        <w:rPr>
          <w:b/>
          <w:sz w:val="26"/>
          <w:szCs w:val="26"/>
        </w:rPr>
        <w:t>25.</w:t>
      </w:r>
      <w:r w:rsidRPr="0020217A"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 w:rsidRPr="0020217A">
        <w:rPr>
          <w:sz w:val="26"/>
          <w:szCs w:val="26"/>
        </w:rPr>
        <w:t>укомплектованна</w:t>
      </w:r>
      <w:proofErr w:type="spellEnd"/>
      <w:r w:rsidRPr="0020217A"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</w:t>
      </w:r>
      <w:r w:rsidRPr="0020217A">
        <w:rPr>
          <w:sz w:val="26"/>
          <w:szCs w:val="26"/>
        </w:rPr>
        <w:lastRenderedPageBreak/>
        <w:t xml:space="preserve">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 w:rsidRPr="0020217A">
        <w:rPr>
          <w:sz w:val="26"/>
          <w:szCs w:val="26"/>
        </w:rPr>
        <w:t>содержащися</w:t>
      </w:r>
      <w:proofErr w:type="spellEnd"/>
      <w:r w:rsidRPr="0020217A"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диск). Также содержание 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 w:rsidRPr="0020217A">
        <w:rPr>
          <w:sz w:val="26"/>
          <w:szCs w:val="26"/>
        </w:rPr>
        <w:t>флеш</w:t>
      </w:r>
      <w:proofErr w:type="spellEnd"/>
      <w:r w:rsidRPr="0020217A">
        <w:rPr>
          <w:sz w:val="26"/>
          <w:szCs w:val="26"/>
        </w:rPr>
        <w:t>-накопителя должен быть обклеен бумагой с номером Контракта.</w:t>
      </w:r>
    </w:p>
    <w:p w14:paraId="4A8018FC" w14:textId="30D55604" w:rsidR="007C635B" w:rsidRPr="005911D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26.</w:t>
      </w:r>
      <w:r w:rsidRPr="005911DA"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</w:t>
      </w:r>
      <w:r w:rsidR="005911DA">
        <w:rPr>
          <w:sz w:val="26"/>
          <w:szCs w:val="26"/>
        </w:rPr>
        <w:t>объекта</w:t>
      </w:r>
      <w:r w:rsidRPr="005911DA">
        <w:rPr>
          <w:sz w:val="26"/>
          <w:szCs w:val="26"/>
        </w:rPr>
        <w:t>. Паспорт объекта должен содержать основные технические характеристики (</w:t>
      </w:r>
      <w:r w:rsidR="005911DA">
        <w:rPr>
          <w:sz w:val="26"/>
          <w:szCs w:val="26"/>
        </w:rPr>
        <w:t>протяженность, потребляемая мощность, расположение шкафов управления, ведомость координат расположения опор</w:t>
      </w:r>
      <w:r w:rsidRPr="005911DA">
        <w:rPr>
          <w:sz w:val="26"/>
          <w:szCs w:val="26"/>
        </w:rPr>
        <w:t>), схема плана коммуникаций, построенных или перенесенных в процессе реализации Контракта.</w:t>
      </w:r>
    </w:p>
    <w:p w14:paraId="2F4B5696" w14:textId="763A7C80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27.</w:t>
      </w:r>
      <w:r w:rsidRPr="005911DA">
        <w:rPr>
          <w:sz w:val="26"/>
          <w:szCs w:val="26"/>
        </w:rPr>
        <w:t xml:space="preserve"> </w:t>
      </w:r>
      <w:r w:rsidR="005911DA" w:rsidRPr="005911DA">
        <w:rPr>
          <w:sz w:val="26"/>
          <w:szCs w:val="26"/>
        </w:rPr>
        <w:t>О</w:t>
      </w:r>
      <w:r w:rsidRPr="005911DA">
        <w:rPr>
          <w:sz w:val="26"/>
          <w:szCs w:val="26"/>
        </w:rPr>
        <w:t xml:space="preserve">плата за техническое присоединение к </w:t>
      </w:r>
      <w:proofErr w:type="gramStart"/>
      <w:r w:rsidRPr="005911DA">
        <w:rPr>
          <w:sz w:val="26"/>
          <w:szCs w:val="26"/>
        </w:rPr>
        <w:t>сетям  ГУП</w:t>
      </w:r>
      <w:proofErr w:type="gramEnd"/>
      <w:r w:rsidRPr="005911DA">
        <w:rPr>
          <w:sz w:val="26"/>
          <w:szCs w:val="26"/>
        </w:rPr>
        <w:t xml:space="preserve"> РК «</w:t>
      </w:r>
      <w:proofErr w:type="spellStart"/>
      <w:r w:rsidRPr="005911DA">
        <w:rPr>
          <w:sz w:val="26"/>
          <w:szCs w:val="26"/>
        </w:rPr>
        <w:t>Крымэнерго</w:t>
      </w:r>
      <w:proofErr w:type="spellEnd"/>
      <w:r w:rsidRPr="005911DA"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 w:rsidRPr="005911DA">
        <w:rPr>
          <w:sz w:val="26"/>
          <w:szCs w:val="26"/>
        </w:rPr>
        <w:t>присоеденение</w:t>
      </w:r>
      <w:proofErr w:type="spellEnd"/>
      <w:r w:rsidRPr="005911DA">
        <w:rPr>
          <w:sz w:val="26"/>
          <w:szCs w:val="26"/>
        </w:rPr>
        <w:t xml:space="preserve"> не </w:t>
      </w:r>
      <w:proofErr w:type="spellStart"/>
      <w:r w:rsidRPr="005911DA">
        <w:rPr>
          <w:sz w:val="26"/>
          <w:szCs w:val="26"/>
        </w:rPr>
        <w:t>предусмотренно</w:t>
      </w:r>
      <w:proofErr w:type="spellEnd"/>
      <w:r w:rsidRPr="005911DA">
        <w:rPr>
          <w:sz w:val="26"/>
          <w:szCs w:val="26"/>
        </w:rPr>
        <w:t xml:space="preserve"> сметой Контракта).</w:t>
      </w:r>
    </w:p>
    <w:p w14:paraId="16E424F2" w14:textId="77777777" w:rsidR="00035111" w:rsidRPr="0095282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Гарантии качества.</w:t>
      </w:r>
    </w:p>
    <w:p w14:paraId="496A1714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60438D4" w14:textId="415ABB95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Срок предоставления гарантий качества работ устанавливается гарантийным паспортом (Приложение №</w:t>
      </w:r>
      <w:r w:rsidR="002D455B" w:rsidRPr="00952821">
        <w:rPr>
          <w:szCs w:val="24"/>
        </w:rPr>
        <w:t>5</w:t>
      </w:r>
      <w:r w:rsidRPr="00952821">
        <w:rPr>
          <w:szCs w:val="24"/>
        </w:rPr>
        <w:t xml:space="preserve"> к Контракту) с момента подписания Акта приемочной комиссии законченного объекта</w:t>
      </w:r>
      <w:r w:rsidR="001D54A0" w:rsidRPr="00952821">
        <w:rPr>
          <w:szCs w:val="24"/>
        </w:rPr>
        <w:t>.</w:t>
      </w:r>
    </w:p>
    <w:p w14:paraId="6B04D955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Если в период выполнения строительно-монтажных работ или 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8534D83" w14:textId="7CF4D0A3" w:rsidR="003F5844" w:rsidRDefault="00035111" w:rsidP="00F43C19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952821">
        <w:rPr>
          <w:szCs w:val="24"/>
        </w:rPr>
        <w:t>напраляет</w:t>
      </w:r>
      <w:proofErr w:type="spellEnd"/>
      <w:r w:rsidRPr="00952821">
        <w:rPr>
          <w:szCs w:val="24"/>
        </w:rPr>
        <w:t xml:space="preserve"> требованием на Подрядчика.</w:t>
      </w:r>
    </w:p>
    <w:p w14:paraId="56F508E1" w14:textId="77777777" w:rsidR="00CF2616" w:rsidRPr="00952821" w:rsidRDefault="00CF2616" w:rsidP="00F43C19">
      <w:pPr>
        <w:pStyle w:val="a3"/>
        <w:spacing w:after="0"/>
        <w:ind w:left="426"/>
        <w:jc w:val="both"/>
        <w:rPr>
          <w:szCs w:val="24"/>
        </w:rPr>
      </w:pPr>
    </w:p>
    <w:tbl>
      <w:tblPr>
        <w:tblpPr w:leftFromText="180" w:rightFromText="18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3F5844" w:rsidRPr="00952821" w14:paraId="2048C3BE" w14:textId="77777777" w:rsidTr="003F5844">
        <w:tc>
          <w:tcPr>
            <w:tcW w:w="4536" w:type="dxa"/>
            <w:hideMark/>
          </w:tcPr>
          <w:p w14:paraId="415AED37" w14:textId="77777777" w:rsidR="003F5844" w:rsidRPr="00871AC1" w:rsidRDefault="003F5844">
            <w:pPr>
              <w:pStyle w:val="1"/>
              <w:ind w:left="35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C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584B2C66" w14:textId="1A7ED0CB" w:rsidR="003F5844" w:rsidRPr="00871AC1" w:rsidRDefault="003F5844">
            <w:pPr>
              <w:pStyle w:val="1"/>
              <w:ind w:left="35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71AC1">
              <w:rPr>
                <w:rFonts w:ascii="Times New Roman" w:hAnsi="Times New Roman" w:cs="Times New Roman"/>
                <w:sz w:val="24"/>
                <w:szCs w:val="24"/>
              </w:rPr>
              <w:t xml:space="preserve">ГКУ РК «Служба автомобильных </w:t>
            </w:r>
            <w:proofErr w:type="gramStart"/>
            <w:r w:rsidRPr="00871AC1">
              <w:rPr>
                <w:rFonts w:ascii="Times New Roman" w:hAnsi="Times New Roman" w:cs="Times New Roman"/>
                <w:sz w:val="24"/>
                <w:szCs w:val="24"/>
              </w:rPr>
              <w:t xml:space="preserve">дорог </w:t>
            </w:r>
            <w:r w:rsidR="00871AC1" w:rsidRPr="0087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AC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gramEnd"/>
            <w:r w:rsidRPr="00871AC1">
              <w:rPr>
                <w:rFonts w:ascii="Times New Roman" w:hAnsi="Times New Roman" w:cs="Times New Roman"/>
                <w:sz w:val="24"/>
                <w:szCs w:val="24"/>
              </w:rPr>
              <w:t xml:space="preserve"> Крым»</w:t>
            </w:r>
          </w:p>
        </w:tc>
        <w:tc>
          <w:tcPr>
            <w:tcW w:w="5098" w:type="dxa"/>
            <w:hideMark/>
          </w:tcPr>
          <w:p w14:paraId="56F32197" w14:textId="0E1CCEEB" w:rsidR="003F5844" w:rsidRPr="00871AC1" w:rsidRDefault="003F5844">
            <w:pPr>
              <w:ind w:left="35"/>
            </w:pPr>
            <w:r w:rsidRPr="00871AC1">
              <w:rPr>
                <w:b/>
              </w:rPr>
              <w:t>Подрядчик:</w:t>
            </w:r>
            <w:r w:rsidRPr="00871AC1">
              <w:t xml:space="preserve"> </w:t>
            </w:r>
          </w:p>
          <w:p w14:paraId="023AD8AE" w14:textId="7417D5E6" w:rsidR="00871AC1" w:rsidRPr="00871AC1" w:rsidRDefault="00871AC1">
            <w:pPr>
              <w:ind w:left="35"/>
            </w:pPr>
          </w:p>
          <w:p w14:paraId="485C8435" w14:textId="07229AAC" w:rsidR="003F5844" w:rsidRPr="00871AC1" w:rsidRDefault="003F5844">
            <w:pPr>
              <w:pStyle w:val="af"/>
              <w:spacing w:before="0" w:beforeAutospacing="0" w:after="0" w:afterAutospacing="0"/>
              <w:ind w:left="35"/>
            </w:pPr>
          </w:p>
        </w:tc>
      </w:tr>
      <w:tr w:rsidR="003F5844" w:rsidRPr="00952821" w14:paraId="3A2723A4" w14:textId="77777777" w:rsidTr="003F5844">
        <w:tc>
          <w:tcPr>
            <w:tcW w:w="4536" w:type="dxa"/>
          </w:tcPr>
          <w:p w14:paraId="228A0560" w14:textId="77777777" w:rsidR="003F5844" w:rsidRPr="00871AC1" w:rsidRDefault="003F5844">
            <w:pPr>
              <w:pStyle w:val="1"/>
              <w:ind w:left="35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23FCF3F1" w14:textId="77777777" w:rsidR="003F5844" w:rsidRPr="00871AC1" w:rsidRDefault="003F5844">
            <w:pPr>
              <w:ind w:left="35"/>
              <w:rPr>
                <w:b/>
              </w:rPr>
            </w:pPr>
          </w:p>
        </w:tc>
      </w:tr>
      <w:tr w:rsidR="003F5844" w:rsidRPr="00952821" w14:paraId="15713D6A" w14:textId="77777777" w:rsidTr="003F5844">
        <w:tc>
          <w:tcPr>
            <w:tcW w:w="4536" w:type="dxa"/>
          </w:tcPr>
          <w:p w14:paraId="0A8F222C" w14:textId="726A7F5F" w:rsidR="003F5844" w:rsidRPr="00871AC1" w:rsidRDefault="00871AC1">
            <w:pPr>
              <w:ind w:left="37"/>
              <w:rPr>
                <w:color w:val="000000"/>
              </w:rPr>
            </w:pPr>
            <w:r w:rsidRPr="00871AC1">
              <w:rPr>
                <w:color w:val="000000"/>
              </w:rPr>
              <w:t>Главный инженер</w:t>
            </w:r>
          </w:p>
          <w:p w14:paraId="301EB26D" w14:textId="77777777" w:rsidR="003F5844" w:rsidRPr="00871AC1" w:rsidRDefault="003F5844">
            <w:pPr>
              <w:ind w:left="37"/>
              <w:rPr>
                <w:color w:val="000000"/>
              </w:rPr>
            </w:pPr>
          </w:p>
          <w:p w14:paraId="24AFBB2B" w14:textId="77777777" w:rsidR="003F5844" w:rsidRPr="00871AC1" w:rsidRDefault="003F5844">
            <w:pPr>
              <w:ind w:left="37"/>
              <w:rPr>
                <w:bCs/>
                <w:color w:val="000000"/>
              </w:rPr>
            </w:pPr>
          </w:p>
          <w:p w14:paraId="04AC239C" w14:textId="4B6DF86B" w:rsidR="003F5844" w:rsidRPr="00871AC1" w:rsidRDefault="003F5844">
            <w:pPr>
              <w:ind w:left="37"/>
              <w:rPr>
                <w:bCs/>
                <w:color w:val="000000"/>
              </w:rPr>
            </w:pPr>
            <w:r w:rsidRPr="00871AC1">
              <w:rPr>
                <w:bCs/>
                <w:color w:val="000000"/>
              </w:rPr>
              <w:t xml:space="preserve">____________ </w:t>
            </w:r>
            <w:r w:rsidR="003E2D59">
              <w:rPr>
                <w:bCs/>
                <w:color w:val="000000"/>
              </w:rPr>
              <w:t>О.Б. Портнягин</w:t>
            </w:r>
          </w:p>
          <w:p w14:paraId="5ADED9FB" w14:textId="77777777" w:rsidR="003F5844" w:rsidRPr="00871AC1" w:rsidRDefault="003F5844">
            <w:pPr>
              <w:pStyle w:val="1"/>
              <w:ind w:left="35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098" w:type="dxa"/>
          </w:tcPr>
          <w:p w14:paraId="448D0210" w14:textId="2DCAA1AD" w:rsidR="003F5844" w:rsidRPr="00871AC1" w:rsidRDefault="003F5844">
            <w:pPr>
              <w:autoSpaceDE w:val="0"/>
              <w:autoSpaceDN w:val="0"/>
              <w:adjustRightInd w:val="0"/>
              <w:snapToGrid w:val="0"/>
              <w:ind w:left="37"/>
              <w:jc w:val="both"/>
            </w:pPr>
          </w:p>
          <w:p w14:paraId="52498784" w14:textId="77777777" w:rsidR="00871AC1" w:rsidRPr="00871AC1" w:rsidRDefault="00871AC1">
            <w:pPr>
              <w:autoSpaceDE w:val="0"/>
              <w:autoSpaceDN w:val="0"/>
              <w:adjustRightInd w:val="0"/>
              <w:snapToGrid w:val="0"/>
              <w:ind w:left="37"/>
              <w:jc w:val="both"/>
            </w:pPr>
          </w:p>
          <w:p w14:paraId="7094EB7D" w14:textId="77777777" w:rsidR="003F5844" w:rsidRPr="00871AC1" w:rsidRDefault="003F5844">
            <w:pPr>
              <w:autoSpaceDE w:val="0"/>
              <w:autoSpaceDN w:val="0"/>
              <w:adjustRightInd w:val="0"/>
              <w:snapToGrid w:val="0"/>
              <w:ind w:left="37"/>
              <w:jc w:val="both"/>
            </w:pPr>
          </w:p>
          <w:p w14:paraId="4005D1D9" w14:textId="77777777" w:rsidR="00057FB3" w:rsidRDefault="003F5844" w:rsidP="00057FB3">
            <w:pPr>
              <w:autoSpaceDE w:val="0"/>
              <w:autoSpaceDN w:val="0"/>
              <w:adjustRightInd w:val="0"/>
              <w:snapToGrid w:val="0"/>
              <w:ind w:left="37"/>
              <w:jc w:val="both"/>
              <w:rPr>
                <w:lang w:eastAsia="ar-SA"/>
              </w:rPr>
            </w:pPr>
            <w:r w:rsidRPr="00871AC1">
              <w:rPr>
                <w:lang w:eastAsia="ar-SA"/>
              </w:rPr>
              <w:t xml:space="preserve">_____________ </w:t>
            </w:r>
            <w:r w:rsidR="00871AC1" w:rsidRPr="00871AC1">
              <w:rPr>
                <w:lang w:eastAsia="ar-SA"/>
              </w:rPr>
              <w:t xml:space="preserve"> </w:t>
            </w:r>
          </w:p>
          <w:p w14:paraId="53B9AEBC" w14:textId="621E5092" w:rsidR="003F5844" w:rsidRPr="00871AC1" w:rsidRDefault="003F5844" w:rsidP="00057FB3">
            <w:pPr>
              <w:autoSpaceDE w:val="0"/>
              <w:autoSpaceDN w:val="0"/>
              <w:adjustRightInd w:val="0"/>
              <w:snapToGrid w:val="0"/>
              <w:ind w:left="37"/>
              <w:jc w:val="both"/>
              <w:rPr>
                <w:b/>
              </w:rPr>
            </w:pPr>
            <w:r w:rsidRPr="00871AC1">
              <w:rPr>
                <w:lang w:eastAsia="ar-SA"/>
              </w:rPr>
              <w:t>МП</w:t>
            </w:r>
          </w:p>
        </w:tc>
      </w:tr>
    </w:tbl>
    <w:p w14:paraId="03FF368D" w14:textId="77777777" w:rsidR="003F5844" w:rsidRPr="00DB4292" w:rsidRDefault="003F5844" w:rsidP="00F70A12">
      <w:pPr>
        <w:jc w:val="both"/>
        <w:rPr>
          <w:sz w:val="26"/>
          <w:szCs w:val="26"/>
        </w:rPr>
      </w:pPr>
    </w:p>
    <w:sectPr w:rsidR="003F5844" w:rsidRPr="00DB4292" w:rsidSect="00F43C19">
      <w:headerReference w:type="default" r:id="rId8"/>
      <w:footerReference w:type="default" r:id="rId9"/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BBC5" w14:textId="77777777" w:rsidR="00036A28" w:rsidRDefault="00036A28" w:rsidP="00C67861">
      <w:r>
        <w:separator/>
      </w:r>
    </w:p>
  </w:endnote>
  <w:endnote w:type="continuationSeparator" w:id="0">
    <w:p w14:paraId="71F1EB08" w14:textId="77777777" w:rsidR="00036A28" w:rsidRDefault="00036A2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D1721" w14:textId="77777777" w:rsidR="00036A28" w:rsidRDefault="00036A28" w:rsidP="00C67861">
      <w:r>
        <w:separator/>
      </w:r>
    </w:p>
  </w:footnote>
  <w:footnote w:type="continuationSeparator" w:id="0">
    <w:p w14:paraId="2143E755" w14:textId="77777777" w:rsidR="00036A28" w:rsidRDefault="00036A2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36A28"/>
    <w:rsid w:val="00054B04"/>
    <w:rsid w:val="00057FB3"/>
    <w:rsid w:val="0006099B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AFF"/>
    <w:rsid w:val="0014726D"/>
    <w:rsid w:val="001550F8"/>
    <w:rsid w:val="00171304"/>
    <w:rsid w:val="00173096"/>
    <w:rsid w:val="00174D84"/>
    <w:rsid w:val="0018659C"/>
    <w:rsid w:val="00195DB2"/>
    <w:rsid w:val="001C4BED"/>
    <w:rsid w:val="001C7D1E"/>
    <w:rsid w:val="001D54A0"/>
    <w:rsid w:val="001F09BF"/>
    <w:rsid w:val="001F0BEE"/>
    <w:rsid w:val="001F4EC9"/>
    <w:rsid w:val="001F5B77"/>
    <w:rsid w:val="00201996"/>
    <w:rsid w:val="0024590C"/>
    <w:rsid w:val="00247214"/>
    <w:rsid w:val="00255418"/>
    <w:rsid w:val="00277173"/>
    <w:rsid w:val="002D03B3"/>
    <w:rsid w:val="002D455B"/>
    <w:rsid w:val="002D5736"/>
    <w:rsid w:val="002E0542"/>
    <w:rsid w:val="002E25E7"/>
    <w:rsid w:val="002F5666"/>
    <w:rsid w:val="00321BCC"/>
    <w:rsid w:val="003322E9"/>
    <w:rsid w:val="003627F5"/>
    <w:rsid w:val="00391AEE"/>
    <w:rsid w:val="003B51CF"/>
    <w:rsid w:val="003C6A31"/>
    <w:rsid w:val="003C6E7B"/>
    <w:rsid w:val="003D0EA9"/>
    <w:rsid w:val="003D7AB1"/>
    <w:rsid w:val="003E0741"/>
    <w:rsid w:val="003E2D59"/>
    <w:rsid w:val="003E7185"/>
    <w:rsid w:val="003F5844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73A4"/>
    <w:rsid w:val="00551716"/>
    <w:rsid w:val="00551A50"/>
    <w:rsid w:val="00554FB1"/>
    <w:rsid w:val="00565218"/>
    <w:rsid w:val="00577721"/>
    <w:rsid w:val="00587C63"/>
    <w:rsid w:val="00590FC6"/>
    <w:rsid w:val="005911DA"/>
    <w:rsid w:val="0059735E"/>
    <w:rsid w:val="005D3D9F"/>
    <w:rsid w:val="005E1CAC"/>
    <w:rsid w:val="005F14DD"/>
    <w:rsid w:val="006014CD"/>
    <w:rsid w:val="0060292F"/>
    <w:rsid w:val="00611A2B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C37A5"/>
    <w:rsid w:val="006D5460"/>
    <w:rsid w:val="006E37A7"/>
    <w:rsid w:val="006F4959"/>
    <w:rsid w:val="006F6519"/>
    <w:rsid w:val="00711D41"/>
    <w:rsid w:val="00725ED9"/>
    <w:rsid w:val="00726AFD"/>
    <w:rsid w:val="00731645"/>
    <w:rsid w:val="00733D84"/>
    <w:rsid w:val="007725D3"/>
    <w:rsid w:val="0078272B"/>
    <w:rsid w:val="007829FE"/>
    <w:rsid w:val="00787036"/>
    <w:rsid w:val="007A6ED1"/>
    <w:rsid w:val="007B4FC4"/>
    <w:rsid w:val="007B77BB"/>
    <w:rsid w:val="007C635B"/>
    <w:rsid w:val="007C67FC"/>
    <w:rsid w:val="007D1D9D"/>
    <w:rsid w:val="008008FF"/>
    <w:rsid w:val="0084291E"/>
    <w:rsid w:val="00871AC1"/>
    <w:rsid w:val="008A1C19"/>
    <w:rsid w:val="008A37DC"/>
    <w:rsid w:val="008A68EE"/>
    <w:rsid w:val="008C3572"/>
    <w:rsid w:val="008C4916"/>
    <w:rsid w:val="008E02CF"/>
    <w:rsid w:val="008E6914"/>
    <w:rsid w:val="008F2B7A"/>
    <w:rsid w:val="0090155F"/>
    <w:rsid w:val="00946F9A"/>
    <w:rsid w:val="00952821"/>
    <w:rsid w:val="00960D80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26A3"/>
    <w:rsid w:val="00A85BF7"/>
    <w:rsid w:val="00A86D8F"/>
    <w:rsid w:val="00AA449D"/>
    <w:rsid w:val="00AA53C0"/>
    <w:rsid w:val="00AA60C2"/>
    <w:rsid w:val="00AA78F3"/>
    <w:rsid w:val="00AB5DE6"/>
    <w:rsid w:val="00AD0C5C"/>
    <w:rsid w:val="00AF05F2"/>
    <w:rsid w:val="00AF488F"/>
    <w:rsid w:val="00B069A9"/>
    <w:rsid w:val="00B07D47"/>
    <w:rsid w:val="00B121D9"/>
    <w:rsid w:val="00B16A6F"/>
    <w:rsid w:val="00B24BC3"/>
    <w:rsid w:val="00B34C6E"/>
    <w:rsid w:val="00B45AF7"/>
    <w:rsid w:val="00B46F8E"/>
    <w:rsid w:val="00B47F29"/>
    <w:rsid w:val="00B51656"/>
    <w:rsid w:val="00B73D13"/>
    <w:rsid w:val="00B877B4"/>
    <w:rsid w:val="00B90F23"/>
    <w:rsid w:val="00B9478B"/>
    <w:rsid w:val="00BA7494"/>
    <w:rsid w:val="00BB0DEF"/>
    <w:rsid w:val="00BC1E49"/>
    <w:rsid w:val="00BC504B"/>
    <w:rsid w:val="00BE0E05"/>
    <w:rsid w:val="00BE489F"/>
    <w:rsid w:val="00BE56C1"/>
    <w:rsid w:val="00BF323F"/>
    <w:rsid w:val="00BF5222"/>
    <w:rsid w:val="00C06A38"/>
    <w:rsid w:val="00C10E34"/>
    <w:rsid w:val="00C353B2"/>
    <w:rsid w:val="00C45FC4"/>
    <w:rsid w:val="00C509E1"/>
    <w:rsid w:val="00C535E3"/>
    <w:rsid w:val="00C55C90"/>
    <w:rsid w:val="00C57F48"/>
    <w:rsid w:val="00C65050"/>
    <w:rsid w:val="00C67861"/>
    <w:rsid w:val="00C86372"/>
    <w:rsid w:val="00C87C11"/>
    <w:rsid w:val="00C9020C"/>
    <w:rsid w:val="00CB57E4"/>
    <w:rsid w:val="00CB630D"/>
    <w:rsid w:val="00CC1237"/>
    <w:rsid w:val="00CC4540"/>
    <w:rsid w:val="00CD2309"/>
    <w:rsid w:val="00CF04C9"/>
    <w:rsid w:val="00CF2616"/>
    <w:rsid w:val="00CF491A"/>
    <w:rsid w:val="00D07D79"/>
    <w:rsid w:val="00D22C24"/>
    <w:rsid w:val="00D24FE9"/>
    <w:rsid w:val="00D36759"/>
    <w:rsid w:val="00D43060"/>
    <w:rsid w:val="00D936A1"/>
    <w:rsid w:val="00DA06F1"/>
    <w:rsid w:val="00DA2390"/>
    <w:rsid w:val="00DB3239"/>
    <w:rsid w:val="00DB4292"/>
    <w:rsid w:val="00DC50ED"/>
    <w:rsid w:val="00DE76F5"/>
    <w:rsid w:val="00DF09C2"/>
    <w:rsid w:val="00DF5431"/>
    <w:rsid w:val="00E17AB7"/>
    <w:rsid w:val="00E25113"/>
    <w:rsid w:val="00E4360B"/>
    <w:rsid w:val="00E5139C"/>
    <w:rsid w:val="00E63952"/>
    <w:rsid w:val="00E6702E"/>
    <w:rsid w:val="00E70CEA"/>
    <w:rsid w:val="00E92E66"/>
    <w:rsid w:val="00E97DAC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D17"/>
    <w:rsid w:val="00EF0500"/>
    <w:rsid w:val="00EF5916"/>
    <w:rsid w:val="00F17C76"/>
    <w:rsid w:val="00F21620"/>
    <w:rsid w:val="00F22251"/>
    <w:rsid w:val="00F30113"/>
    <w:rsid w:val="00F32D43"/>
    <w:rsid w:val="00F4353B"/>
    <w:rsid w:val="00F43C19"/>
    <w:rsid w:val="00F6466F"/>
    <w:rsid w:val="00F6701C"/>
    <w:rsid w:val="00F70A12"/>
    <w:rsid w:val="00F875C5"/>
    <w:rsid w:val="00F97114"/>
    <w:rsid w:val="00FA30AB"/>
    <w:rsid w:val="00FA3479"/>
    <w:rsid w:val="00FB2534"/>
    <w:rsid w:val="00FB3806"/>
    <w:rsid w:val="00FB4C64"/>
    <w:rsid w:val="00FD37B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F5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E540-E1F2-48A1-BFBF-D5DA52BF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2022-01-26T13:37:00Z</cp:lastPrinted>
  <dcterms:created xsi:type="dcterms:W3CDTF">2025-04-01T12:08:00Z</dcterms:created>
  <dcterms:modified xsi:type="dcterms:W3CDTF">2025-07-28T06:52:00Z</dcterms:modified>
</cp:coreProperties>
</file>