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047897AC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="00DE1AC0">
        <w:rPr>
          <w:sz w:val="26"/>
          <w:szCs w:val="26"/>
        </w:rPr>
        <w:t>строительно</w:t>
      </w:r>
      <w:bookmarkStart w:id="0" w:name="_GoBack"/>
      <w:bookmarkEnd w:id="0"/>
      <w:r w:rsidR="00DE1AC0">
        <w:rPr>
          <w:sz w:val="26"/>
          <w:szCs w:val="26"/>
        </w:rPr>
        <w:t xml:space="preserve">-монтажных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CF491A" w:rsidRPr="00DB4292">
        <w:rPr>
          <w:sz w:val="26"/>
          <w:szCs w:val="26"/>
        </w:rPr>
        <w:t xml:space="preserve"> объект</w:t>
      </w:r>
      <w:r w:rsidR="00DE1AC0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1" w:name="_Hlk45898810"/>
    </w:p>
    <w:bookmarkEnd w:id="1"/>
    <w:p w14:paraId="383BBC4E" w14:textId="4576A7FB" w:rsidR="00E5139C" w:rsidRPr="00104882" w:rsidRDefault="008751A0" w:rsidP="008751A0">
      <w:pPr>
        <w:pStyle w:val="a3"/>
        <w:tabs>
          <w:tab w:val="left" w:pos="4170"/>
        </w:tabs>
        <w:spacing w:after="0"/>
        <w:jc w:val="center"/>
        <w:rPr>
          <w:sz w:val="27"/>
          <w:szCs w:val="27"/>
        </w:rPr>
      </w:pPr>
      <w:r w:rsidRPr="008751A0">
        <w:rPr>
          <w:sz w:val="26"/>
          <w:szCs w:val="26"/>
        </w:rPr>
        <w:t xml:space="preserve">«Строительство подъездной дороги от автомобильной дороги 35 ОП М3-35Н-111 Таврида–Анновка к </w:t>
      </w:r>
      <w:proofErr w:type="spellStart"/>
      <w:r w:rsidRPr="008751A0">
        <w:rPr>
          <w:sz w:val="26"/>
          <w:szCs w:val="26"/>
        </w:rPr>
        <w:t>Экотехнопарку</w:t>
      </w:r>
      <w:proofErr w:type="spellEnd"/>
      <w:r w:rsidRPr="008751A0">
        <w:rPr>
          <w:sz w:val="26"/>
          <w:szCs w:val="26"/>
        </w:rPr>
        <w:t xml:space="preserve"> в Белогорском районе Республики Крым»</w:t>
      </w: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5446E97F" w:rsidR="00AA78F3" w:rsidRPr="003A6C8D" w:rsidRDefault="003A6C8D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3A6C8D">
        <w:rPr>
          <w:sz w:val="26"/>
          <w:szCs w:val="26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</w:t>
      </w:r>
      <w:r w:rsidR="00F70A12" w:rsidRPr="003A6C8D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4E5A204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EBD00F3" w14:textId="198FE0EA" w:rsidR="003A6C8D" w:rsidRPr="0037313A" w:rsidRDefault="008751A0" w:rsidP="008751A0">
      <w:pPr>
        <w:pStyle w:val="a3"/>
        <w:tabs>
          <w:tab w:val="left" w:pos="4170"/>
        </w:tabs>
        <w:ind w:left="426"/>
        <w:jc w:val="center"/>
        <w:rPr>
          <w:sz w:val="26"/>
          <w:szCs w:val="26"/>
        </w:rPr>
      </w:pPr>
      <w:r w:rsidRPr="008751A0">
        <w:rPr>
          <w:sz w:val="26"/>
          <w:szCs w:val="26"/>
        </w:rPr>
        <w:t xml:space="preserve">«Строительство подъездной дороги от автомобильной дороги 35 ОП М3-35Н-111 Таврида–Анновка к </w:t>
      </w:r>
      <w:proofErr w:type="spellStart"/>
      <w:r w:rsidRPr="008751A0">
        <w:rPr>
          <w:sz w:val="26"/>
          <w:szCs w:val="26"/>
        </w:rPr>
        <w:t>Экотехнопарку</w:t>
      </w:r>
      <w:proofErr w:type="spellEnd"/>
      <w:r w:rsidRPr="008751A0">
        <w:rPr>
          <w:sz w:val="26"/>
          <w:szCs w:val="26"/>
        </w:rPr>
        <w:t xml:space="preserve"> в Белогорском районе Республики Крым»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3544"/>
      </w:tblGrid>
      <w:tr w:rsidR="003A6C8D" w:rsidRPr="004B3930" w14:paraId="63FC98EB" w14:textId="77777777" w:rsidTr="003A6C8D">
        <w:trPr>
          <w:trHeight w:val="21"/>
          <w:tblHeader/>
        </w:trPr>
        <w:tc>
          <w:tcPr>
            <w:tcW w:w="4394" w:type="dxa"/>
            <w:shd w:val="clear" w:color="auto" w:fill="FFFFFF"/>
            <w:vAlign w:val="center"/>
          </w:tcPr>
          <w:p w14:paraId="5BAFE50F" w14:textId="77777777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</w:tcPr>
          <w:p w14:paraId="039C442D" w14:textId="366AEF83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A6C8D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6A440A90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467A4C" w:rsidRPr="0067226C" w14:paraId="0910F450" w14:textId="77777777" w:rsidTr="006D5549">
        <w:trPr>
          <w:trHeight w:val="21"/>
        </w:trPr>
        <w:tc>
          <w:tcPr>
            <w:tcW w:w="4394" w:type="dxa"/>
            <w:shd w:val="clear" w:color="auto" w:fill="FFFFFF"/>
          </w:tcPr>
          <w:p w14:paraId="6C836096" w14:textId="24B46287" w:rsidR="00467A4C" w:rsidRPr="00467A4C" w:rsidRDefault="00467A4C" w:rsidP="00467A4C">
            <w:pPr>
              <w:ind w:firstLine="132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1701" w:type="dxa"/>
            <w:shd w:val="clear" w:color="auto" w:fill="FFFFFF"/>
          </w:tcPr>
          <w:p w14:paraId="436F26C2" w14:textId="091BFAD7" w:rsidR="00467A4C" w:rsidRPr="00467A4C" w:rsidRDefault="00467A4C" w:rsidP="00467A4C">
            <w:pPr>
              <w:jc w:val="center"/>
              <w:rPr>
                <w:sz w:val="26"/>
                <w:szCs w:val="26"/>
              </w:rPr>
            </w:pPr>
            <w:r w:rsidRPr="00467A4C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071D45F1" w14:textId="0902F983" w:rsidR="00467A4C" w:rsidRPr="008751A0" w:rsidRDefault="008751A0" w:rsidP="00467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3A6C8D" w:rsidRPr="0067226C" w14:paraId="4BBFCEE2" w14:textId="77777777" w:rsidTr="0015104F">
        <w:trPr>
          <w:trHeight w:val="21"/>
        </w:trPr>
        <w:tc>
          <w:tcPr>
            <w:tcW w:w="4394" w:type="dxa"/>
            <w:shd w:val="clear" w:color="auto" w:fill="FFFFFF"/>
          </w:tcPr>
          <w:p w14:paraId="21B11F34" w14:textId="7188261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shd w:val="clear" w:color="auto" w:fill="FFFFFF"/>
          </w:tcPr>
          <w:p w14:paraId="2306E170" w14:textId="0A0BDDDA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3544" w:type="dxa"/>
            <w:shd w:val="clear" w:color="auto" w:fill="FFFFFF"/>
          </w:tcPr>
          <w:p w14:paraId="5A034D78" w14:textId="27BFC165" w:rsidR="003A6C8D" w:rsidRPr="0081002F" w:rsidRDefault="008751A0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A644F" w:rsidRPr="0081002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24842</w:t>
            </w:r>
          </w:p>
        </w:tc>
      </w:tr>
      <w:tr w:rsidR="003A6C8D" w:rsidRPr="0067226C" w14:paraId="61F2E135" w14:textId="77777777" w:rsidTr="003271C9">
        <w:trPr>
          <w:trHeight w:val="21"/>
        </w:trPr>
        <w:tc>
          <w:tcPr>
            <w:tcW w:w="4394" w:type="dxa"/>
            <w:shd w:val="clear" w:color="auto" w:fill="FFFFFF"/>
          </w:tcPr>
          <w:p w14:paraId="2F0A3946" w14:textId="0F6E2D52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земляного полотна</w:t>
            </w:r>
          </w:p>
        </w:tc>
        <w:tc>
          <w:tcPr>
            <w:tcW w:w="1701" w:type="dxa"/>
            <w:shd w:val="clear" w:color="auto" w:fill="FFFFFF"/>
          </w:tcPr>
          <w:p w14:paraId="36440E38" w14:textId="10CD5166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6BE24160" w14:textId="60CBAEC2" w:rsidR="003A6C8D" w:rsidRPr="008751A0" w:rsidRDefault="008751A0" w:rsidP="003A6C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00-</w:t>
            </w:r>
            <w:r w:rsidR="000A644F" w:rsidRPr="0081002F">
              <w:rPr>
                <w:sz w:val="26"/>
                <w:szCs w:val="26"/>
              </w:rPr>
              <w:t>11,</w:t>
            </w: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3A6C8D" w:rsidRPr="0067226C" w14:paraId="20AE4719" w14:textId="77777777" w:rsidTr="0002742A">
        <w:trPr>
          <w:trHeight w:val="21"/>
        </w:trPr>
        <w:tc>
          <w:tcPr>
            <w:tcW w:w="4394" w:type="dxa"/>
            <w:shd w:val="clear" w:color="auto" w:fill="FFFFFF"/>
          </w:tcPr>
          <w:p w14:paraId="26D46BB8" w14:textId="31BB7D7E" w:rsidR="003A6C8D" w:rsidRPr="00467A4C" w:rsidRDefault="000A644F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обочин</w:t>
            </w:r>
          </w:p>
        </w:tc>
        <w:tc>
          <w:tcPr>
            <w:tcW w:w="1701" w:type="dxa"/>
            <w:shd w:val="clear" w:color="auto" w:fill="FFFFFF"/>
          </w:tcPr>
          <w:p w14:paraId="3E353AAD" w14:textId="00CA1B67" w:rsidR="003A6C8D" w:rsidRPr="00467A4C" w:rsidRDefault="000A644F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1B18C79B" w14:textId="6489DC9D" w:rsidR="003A6C8D" w:rsidRPr="0081002F" w:rsidRDefault="000A644F" w:rsidP="003A6C8D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6ADDD4B" w14:textId="77777777" w:rsidTr="006C03FA">
        <w:trPr>
          <w:trHeight w:val="21"/>
        </w:trPr>
        <w:tc>
          <w:tcPr>
            <w:tcW w:w="4394" w:type="dxa"/>
            <w:shd w:val="clear" w:color="auto" w:fill="FFFFFF"/>
          </w:tcPr>
          <w:p w14:paraId="5A2EA08F" w14:textId="71AF5C5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скорость движения</w:t>
            </w:r>
          </w:p>
        </w:tc>
        <w:tc>
          <w:tcPr>
            <w:tcW w:w="1701" w:type="dxa"/>
            <w:shd w:val="clear" w:color="auto" w:fill="FFFFFF"/>
          </w:tcPr>
          <w:p w14:paraId="49D277AC" w14:textId="4A768A96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км/ч</w:t>
            </w:r>
          </w:p>
        </w:tc>
        <w:tc>
          <w:tcPr>
            <w:tcW w:w="3544" w:type="dxa"/>
            <w:shd w:val="clear" w:color="auto" w:fill="FFFFFF"/>
          </w:tcPr>
          <w:p w14:paraId="2A45E6A4" w14:textId="12C521F8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40-80</w:t>
            </w:r>
          </w:p>
        </w:tc>
      </w:tr>
      <w:tr w:rsidR="00467A4C" w:rsidRPr="0067226C" w14:paraId="3B8D5990" w14:textId="77777777" w:rsidTr="009D15C1">
        <w:trPr>
          <w:trHeight w:val="21"/>
        </w:trPr>
        <w:tc>
          <w:tcPr>
            <w:tcW w:w="4394" w:type="dxa"/>
            <w:shd w:val="clear" w:color="auto" w:fill="FFFFFF"/>
          </w:tcPr>
          <w:p w14:paraId="76070AAB" w14:textId="70FE505E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полос</w:t>
            </w:r>
          </w:p>
        </w:tc>
        <w:tc>
          <w:tcPr>
            <w:tcW w:w="1701" w:type="dxa"/>
            <w:shd w:val="clear" w:color="auto" w:fill="FFFFFF"/>
          </w:tcPr>
          <w:p w14:paraId="07313849" w14:textId="22EC3145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14:paraId="06490D3C" w14:textId="5A2AD7C4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2</w:t>
            </w:r>
          </w:p>
        </w:tc>
      </w:tr>
      <w:tr w:rsidR="00467A4C" w:rsidRPr="0067226C" w14:paraId="52B41696" w14:textId="77777777" w:rsidTr="003A7CC9">
        <w:trPr>
          <w:trHeight w:val="21"/>
        </w:trPr>
        <w:tc>
          <w:tcPr>
            <w:tcW w:w="4394" w:type="dxa"/>
            <w:shd w:val="clear" w:color="auto" w:fill="FFFFFF"/>
          </w:tcPr>
          <w:p w14:paraId="3E0E152E" w14:textId="59CA90A2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</w:t>
            </w:r>
          </w:p>
        </w:tc>
        <w:tc>
          <w:tcPr>
            <w:tcW w:w="1701" w:type="dxa"/>
            <w:shd w:val="clear" w:color="auto" w:fill="FFFFFF"/>
          </w:tcPr>
          <w:p w14:paraId="3D4F6DF0" w14:textId="4B1B7171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2B395D11" w14:textId="76DBC6AD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6</w:t>
            </w:r>
          </w:p>
        </w:tc>
      </w:tr>
      <w:tr w:rsidR="00467A4C" w:rsidRPr="0067226C" w14:paraId="370AD682" w14:textId="77777777" w:rsidTr="003C0D31">
        <w:trPr>
          <w:trHeight w:val="21"/>
        </w:trPr>
        <w:tc>
          <w:tcPr>
            <w:tcW w:w="4394" w:type="dxa"/>
            <w:shd w:val="clear" w:color="auto" w:fill="FFFFFF"/>
          </w:tcPr>
          <w:p w14:paraId="6B3A7FC5" w14:textId="107B9FFC" w:rsidR="00467A4C" w:rsidRPr="00467A4C" w:rsidRDefault="000A644F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дорожной одежды</w:t>
            </w:r>
          </w:p>
        </w:tc>
        <w:tc>
          <w:tcPr>
            <w:tcW w:w="1701" w:type="dxa"/>
            <w:shd w:val="clear" w:color="auto" w:fill="FFFFFF"/>
          </w:tcPr>
          <w:p w14:paraId="3E4487BA" w14:textId="71B5378C" w:rsidR="00467A4C" w:rsidRPr="00467A4C" w:rsidRDefault="000A644F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14:paraId="6617B86B" w14:textId="54BB74AC" w:rsidR="00467A4C" w:rsidRPr="0081002F" w:rsidRDefault="000A644F" w:rsidP="00467A4C">
            <w:pPr>
              <w:jc w:val="center"/>
              <w:rPr>
                <w:sz w:val="26"/>
                <w:szCs w:val="26"/>
              </w:rPr>
            </w:pPr>
            <w:r w:rsidRPr="0081002F">
              <w:rPr>
                <w:sz w:val="26"/>
                <w:szCs w:val="26"/>
              </w:rPr>
              <w:t>капитальный</w:t>
            </w:r>
          </w:p>
        </w:tc>
      </w:tr>
      <w:bookmarkEnd w:id="2"/>
    </w:tbl>
    <w:p w14:paraId="00DE953E" w14:textId="5A14B2C8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3A750727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r w:rsidR="0014259B">
        <w:rPr>
          <w:sz w:val="26"/>
          <w:szCs w:val="26"/>
        </w:rPr>
        <w:t>01</w:t>
      </w:r>
      <w:r w:rsidRPr="002A7ED1">
        <w:rPr>
          <w:sz w:val="26"/>
          <w:szCs w:val="26"/>
        </w:rPr>
        <w:t xml:space="preserve"> </w:t>
      </w:r>
      <w:r w:rsidR="008751A0">
        <w:rPr>
          <w:sz w:val="26"/>
          <w:szCs w:val="26"/>
        </w:rPr>
        <w:t>но</w:t>
      </w:r>
      <w:r w:rsidR="00021E63">
        <w:rPr>
          <w:sz w:val="26"/>
          <w:szCs w:val="26"/>
        </w:rPr>
        <w:t>я</w:t>
      </w:r>
      <w:r w:rsidR="00EA43D9" w:rsidRPr="002A7ED1">
        <w:rPr>
          <w:sz w:val="26"/>
          <w:szCs w:val="26"/>
        </w:rPr>
        <w:t>бря</w:t>
      </w:r>
      <w:r w:rsidRPr="002A7ED1">
        <w:rPr>
          <w:sz w:val="26"/>
          <w:szCs w:val="26"/>
        </w:rPr>
        <w:t xml:space="preserve"> 202</w:t>
      </w:r>
      <w:r w:rsidR="00F77E95">
        <w:rPr>
          <w:sz w:val="26"/>
          <w:szCs w:val="26"/>
        </w:rPr>
        <w:t>5</w:t>
      </w:r>
      <w:r w:rsidRPr="002A7ED1">
        <w:rPr>
          <w:sz w:val="26"/>
          <w:szCs w:val="26"/>
        </w:rPr>
        <w:t xml:space="preserve"> 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>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 xml:space="preserve">работ и перемещения по объекту, обеспечить </w:t>
      </w:r>
      <w:r>
        <w:rPr>
          <w:sz w:val="26"/>
          <w:szCs w:val="26"/>
        </w:rPr>
        <w:lastRenderedPageBreak/>
        <w:t>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 xml:space="preserve"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</w:t>
      </w:r>
      <w:r w:rsidRPr="00FA3479">
        <w:rPr>
          <w:sz w:val="26"/>
          <w:szCs w:val="26"/>
        </w:rPr>
        <w:lastRenderedPageBreak/>
        <w:t>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A583232" w14:textId="0EE49A08" w:rsidR="00AF05F2" w:rsidRDefault="00035111" w:rsidP="006F10B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F7FAC" w14:textId="77777777" w:rsidR="00650D1A" w:rsidRDefault="00650D1A" w:rsidP="00C67861">
      <w:r>
        <w:separator/>
      </w:r>
    </w:p>
  </w:endnote>
  <w:endnote w:type="continuationSeparator" w:id="0">
    <w:p w14:paraId="04D98F00" w14:textId="77777777" w:rsidR="00650D1A" w:rsidRDefault="00650D1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2598C" w14:textId="77777777" w:rsidR="00650D1A" w:rsidRDefault="00650D1A" w:rsidP="00C67861">
      <w:r>
        <w:separator/>
      </w:r>
    </w:p>
  </w:footnote>
  <w:footnote w:type="continuationSeparator" w:id="0">
    <w:p w14:paraId="376D781D" w14:textId="77777777" w:rsidR="00650D1A" w:rsidRDefault="00650D1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1E63"/>
    <w:rsid w:val="00024146"/>
    <w:rsid w:val="00026111"/>
    <w:rsid w:val="00035111"/>
    <w:rsid w:val="00054B04"/>
    <w:rsid w:val="0006099B"/>
    <w:rsid w:val="00080188"/>
    <w:rsid w:val="000A1D30"/>
    <w:rsid w:val="000A4ECA"/>
    <w:rsid w:val="000A644F"/>
    <w:rsid w:val="000B1459"/>
    <w:rsid w:val="000B351E"/>
    <w:rsid w:val="000C2D60"/>
    <w:rsid w:val="000C2E9E"/>
    <w:rsid w:val="000C72E7"/>
    <w:rsid w:val="000D00C2"/>
    <w:rsid w:val="000E5F29"/>
    <w:rsid w:val="000F4EB6"/>
    <w:rsid w:val="000F6C20"/>
    <w:rsid w:val="00103857"/>
    <w:rsid w:val="00104882"/>
    <w:rsid w:val="00106AFF"/>
    <w:rsid w:val="00116A0F"/>
    <w:rsid w:val="0014259B"/>
    <w:rsid w:val="0014726D"/>
    <w:rsid w:val="001550F8"/>
    <w:rsid w:val="00171304"/>
    <w:rsid w:val="00173096"/>
    <w:rsid w:val="001830A3"/>
    <w:rsid w:val="00184F15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6FD9"/>
    <w:rsid w:val="005273A4"/>
    <w:rsid w:val="00550BCE"/>
    <w:rsid w:val="00551716"/>
    <w:rsid w:val="00551A50"/>
    <w:rsid w:val="00554FB1"/>
    <w:rsid w:val="00565218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0D1A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10B1"/>
    <w:rsid w:val="006F6519"/>
    <w:rsid w:val="00711D41"/>
    <w:rsid w:val="007142D7"/>
    <w:rsid w:val="00725ED9"/>
    <w:rsid w:val="00726AFD"/>
    <w:rsid w:val="00731645"/>
    <w:rsid w:val="00733D84"/>
    <w:rsid w:val="00743C89"/>
    <w:rsid w:val="0075017F"/>
    <w:rsid w:val="007546E8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1002F"/>
    <w:rsid w:val="0084291E"/>
    <w:rsid w:val="008751A0"/>
    <w:rsid w:val="008A1C19"/>
    <w:rsid w:val="008A37DC"/>
    <w:rsid w:val="008A68EE"/>
    <w:rsid w:val="008C3572"/>
    <w:rsid w:val="008C4916"/>
    <w:rsid w:val="008E02CF"/>
    <w:rsid w:val="008E6914"/>
    <w:rsid w:val="0090155F"/>
    <w:rsid w:val="00913546"/>
    <w:rsid w:val="00946F9A"/>
    <w:rsid w:val="00983E64"/>
    <w:rsid w:val="00987E0E"/>
    <w:rsid w:val="00994E2C"/>
    <w:rsid w:val="009E0027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75B3C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02907"/>
    <w:rsid w:val="00E17AB7"/>
    <w:rsid w:val="00E25113"/>
    <w:rsid w:val="00E4360B"/>
    <w:rsid w:val="00E5139C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221A"/>
    <w:rsid w:val="00F6466F"/>
    <w:rsid w:val="00F6701C"/>
    <w:rsid w:val="00F70A12"/>
    <w:rsid w:val="00F77E95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3182-33F4-4ED0-AEE0-CCD9E7B6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32</cp:revision>
  <cp:lastPrinted>2024-11-12T13:43:00Z</cp:lastPrinted>
  <dcterms:created xsi:type="dcterms:W3CDTF">2023-08-28T11:46:00Z</dcterms:created>
  <dcterms:modified xsi:type="dcterms:W3CDTF">2024-11-12T15:15:00Z</dcterms:modified>
</cp:coreProperties>
</file>