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bottomFromText="200" w:vertAnchor="page" w:horzAnchor="margin" w:tblpXSpec="center" w:tblpY="911"/>
        <w:tblW w:w="10170" w:type="dxa"/>
        <w:tblLayout w:type="fixed"/>
        <w:tblLook w:val="04A0" w:firstRow="1" w:lastRow="0" w:firstColumn="1" w:lastColumn="0" w:noHBand="0" w:noVBand="1"/>
      </w:tblPr>
      <w:tblGrid>
        <w:gridCol w:w="4501"/>
        <w:gridCol w:w="1275"/>
        <w:gridCol w:w="4394"/>
      </w:tblGrid>
      <w:tr w:rsidR="00FB6576" w:rsidTr="00FB6576">
        <w:tc>
          <w:tcPr>
            <w:tcW w:w="4501" w:type="dxa"/>
          </w:tcPr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</w:tcPr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3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94" w:type="dxa"/>
          </w:tcPr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УТВЕРЖДЕНО:</w:t>
            </w:r>
          </w:p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B6576" w:rsidRDefault="00FC34AD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Главный инженер</w:t>
            </w:r>
          </w:p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ГКУ РК «Служба автомобильных дорог Республики Крым»</w:t>
            </w:r>
          </w:p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B6576" w:rsidRDefault="00FB6576" w:rsidP="00FC34AD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_______</w:t>
            </w:r>
            <w:r w:rsidR="00FC34AD">
              <w:rPr>
                <w:rFonts w:eastAsia="Calibri"/>
                <w:b/>
                <w:bCs/>
                <w:lang w:eastAsia="en-US"/>
              </w:rPr>
              <w:t>__</w:t>
            </w:r>
            <w:r>
              <w:rPr>
                <w:rFonts w:eastAsia="Calibri"/>
                <w:b/>
                <w:bCs/>
                <w:lang w:eastAsia="en-US"/>
              </w:rPr>
              <w:t xml:space="preserve">______ </w:t>
            </w:r>
            <w:r w:rsidR="00FC34AD">
              <w:rPr>
                <w:rFonts w:eastAsia="Calibri"/>
                <w:b/>
                <w:bCs/>
                <w:lang w:eastAsia="en-US"/>
              </w:rPr>
              <w:t>В.В. Сомов</w:t>
            </w:r>
            <w:r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«____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_»_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_____________202</w:t>
            </w:r>
            <w:r w:rsidR="001D0C65">
              <w:rPr>
                <w:rFonts w:eastAsia="Calibri"/>
                <w:b/>
                <w:bCs/>
                <w:lang w:eastAsia="en-US"/>
              </w:rPr>
              <w:t>3</w:t>
            </w:r>
            <w:r>
              <w:rPr>
                <w:rFonts w:eastAsia="Calibri"/>
                <w:b/>
                <w:bCs/>
                <w:lang w:eastAsia="en-US"/>
              </w:rPr>
              <w:t xml:space="preserve">г. </w:t>
            </w:r>
          </w:p>
          <w:p w:rsidR="00FB6576" w:rsidRDefault="00FB6576" w:rsidP="00FB6576">
            <w:pPr>
              <w:widowControl/>
              <w:autoSpaceDE/>
              <w:adjustRightInd/>
              <w:spacing w:line="288" w:lineRule="auto"/>
              <w:ind w:left="34" w:right="68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М.П.</w:t>
            </w:r>
          </w:p>
        </w:tc>
      </w:tr>
    </w:tbl>
    <w:p w:rsidR="00DC0941" w:rsidRDefault="00DC0941" w:rsidP="00B2435B">
      <w:pPr>
        <w:jc w:val="right"/>
      </w:pPr>
    </w:p>
    <w:p w:rsidR="002104EA" w:rsidRPr="002276AC" w:rsidRDefault="002104EA" w:rsidP="00B2435B">
      <w:pPr>
        <w:jc w:val="right"/>
      </w:pPr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B2435B" w:rsidRPr="005F3C5C">
        <w:rPr>
          <w:b/>
        </w:rPr>
        <w:t>разработку</w:t>
      </w:r>
      <w:r>
        <w:rPr>
          <w:b/>
        </w:rPr>
        <w:t xml:space="preserve"> </w:t>
      </w:r>
      <w:r w:rsidR="00B2435B" w:rsidRPr="005F3C5C">
        <w:rPr>
          <w:b/>
        </w:rPr>
        <w:t>проектной</w:t>
      </w:r>
      <w:r>
        <w:rPr>
          <w:b/>
        </w:rPr>
        <w:t xml:space="preserve"> </w:t>
      </w:r>
      <w:r w:rsidR="00B2435B" w:rsidRPr="005F3C5C">
        <w:rPr>
          <w:b/>
        </w:rPr>
        <w:t>документации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1D0C65" w:rsidRDefault="001D0C65" w:rsidP="001D0C65">
      <w:pPr>
        <w:ind w:left="-567" w:right="-113"/>
        <w:jc w:val="center"/>
        <w:rPr>
          <w:b/>
        </w:rPr>
      </w:pPr>
      <w:r w:rsidRPr="001D0C65">
        <w:rPr>
          <w:b/>
        </w:rPr>
        <w:t>Реконструкция путепровода через железную дорогу Керчь – Аршинцево на км 4+500 автомобильной дороги общего пол</w:t>
      </w:r>
      <w:r>
        <w:rPr>
          <w:b/>
        </w:rPr>
        <w:t>ьзования регионального значения</w:t>
      </w:r>
    </w:p>
    <w:p w:rsidR="008E3C08" w:rsidRPr="001D0C65" w:rsidRDefault="001D0C65" w:rsidP="0023505D">
      <w:pPr>
        <w:spacing w:after="240"/>
        <w:ind w:left="-567" w:right="-113"/>
        <w:jc w:val="center"/>
        <w:rPr>
          <w:b/>
        </w:rPr>
      </w:pPr>
      <w:r w:rsidRPr="001D0C65">
        <w:rPr>
          <w:b/>
        </w:rPr>
        <w:t>35 ОП РЗ 35А–007 Подъезд к г. Керчи от а/д Таврида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D13462">
        <w:tc>
          <w:tcPr>
            <w:tcW w:w="2693" w:type="dxa"/>
          </w:tcPr>
          <w:p w:rsidR="005A75A7" w:rsidRPr="008E3C08" w:rsidRDefault="005A75A7" w:rsidP="0053023C">
            <w:r w:rsidRPr="008E3C08">
              <w:t>5. Местоположение объекта</w:t>
            </w:r>
          </w:p>
        </w:tc>
        <w:tc>
          <w:tcPr>
            <w:tcW w:w="7336" w:type="dxa"/>
          </w:tcPr>
          <w:p w:rsidR="005A75A7" w:rsidRPr="002276AC" w:rsidRDefault="00683A10" w:rsidP="00E76B03">
            <w:pPr>
              <w:jc w:val="both"/>
            </w:pPr>
            <w:r w:rsidRPr="00FD45A0">
              <w:t xml:space="preserve">Республика Крым, </w:t>
            </w:r>
            <w:r w:rsidR="00E76B03">
              <w:t>г</w:t>
            </w:r>
            <w:r w:rsidR="003F7BEA">
              <w:t>.</w:t>
            </w:r>
            <w:r w:rsidR="00E76B03">
              <w:t xml:space="preserve"> Керчь</w:t>
            </w:r>
            <w:r w:rsidR="003F7BEA">
              <w:t>,</w:t>
            </w:r>
            <w:r w:rsidR="00E76B03">
              <w:t xml:space="preserve"> </w:t>
            </w:r>
            <w:r w:rsidRPr="00FD45A0">
              <w:t>автомобильная дорога</w:t>
            </w:r>
            <w:r w:rsidR="00E76B03">
              <w:t xml:space="preserve"> </w:t>
            </w:r>
            <w:r w:rsidR="003F7BEA" w:rsidRPr="003F7BEA">
              <w:t xml:space="preserve">35 ОП </w:t>
            </w:r>
            <w:r w:rsidR="00E76B03">
              <w:t>Р</w:t>
            </w:r>
            <w:r w:rsidR="003F7BEA" w:rsidRPr="003F7BEA">
              <w:t>З 35</w:t>
            </w:r>
            <w:r w:rsidR="00E76B03">
              <w:t>А</w:t>
            </w:r>
            <w:r w:rsidR="0059333F">
              <w:t>–</w:t>
            </w:r>
            <w:r w:rsidR="00E76B03">
              <w:t>007</w:t>
            </w:r>
            <w:r w:rsidR="003F7BEA" w:rsidRPr="003F7BEA">
              <w:t xml:space="preserve"> </w:t>
            </w:r>
            <w:r w:rsidR="00E76B03" w:rsidRPr="00E76B03">
              <w:t>Подъезд к г. Керчи от а/д Таврида</w:t>
            </w:r>
            <w:r w:rsidR="000337D2">
              <w:t xml:space="preserve">, </w:t>
            </w:r>
            <w:r w:rsidR="00E76B03">
              <w:t>пересечение с однопутной железной дорогой Керчь – Аршинцево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D13462">
        <w:tc>
          <w:tcPr>
            <w:tcW w:w="2693" w:type="dxa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Pr="002276AC">
              <w:t>участка</w:t>
            </w:r>
            <w:r>
              <w:t xml:space="preserve"> </w:t>
            </w:r>
            <w:r w:rsidRPr="002276AC">
              <w:t>дороги,</w:t>
            </w:r>
            <w:r>
              <w:t xml:space="preserve"> </w:t>
            </w:r>
            <w:r w:rsidRPr="002276AC">
              <w:t>паспорта</w:t>
            </w:r>
            <w:r>
              <w:t xml:space="preserve"> </w:t>
            </w:r>
            <w:r w:rsidRPr="002276AC">
              <w:t>(карточки)</w:t>
            </w:r>
            <w:r>
              <w:t xml:space="preserve"> и</w:t>
            </w:r>
            <w:r w:rsidRPr="002276AC">
              <w:t>скусственн</w:t>
            </w:r>
            <w:r w:rsidR="00E76B03">
              <w:t>ого</w:t>
            </w:r>
            <w:r>
              <w:t xml:space="preserve"> </w:t>
            </w:r>
            <w:r w:rsidRPr="002276AC">
              <w:t>сооружени</w:t>
            </w:r>
            <w:r w:rsidR="00E76B03">
              <w:t>я</w:t>
            </w:r>
            <w:r w:rsidRPr="002276AC">
              <w:t>,</w:t>
            </w:r>
            <w:r>
              <w:t xml:space="preserve"> </w:t>
            </w:r>
            <w:r w:rsidRPr="002276AC">
              <w:t>результаты</w:t>
            </w:r>
            <w:r>
              <w:t xml:space="preserve"> </w:t>
            </w:r>
            <w:r w:rsidR="00E76B03">
              <w:t>его</w:t>
            </w:r>
            <w:r>
              <w:t xml:space="preserve"> </w:t>
            </w:r>
            <w:r w:rsidRPr="002276AC">
              <w:t>обследований</w:t>
            </w:r>
            <w:r>
              <w:t xml:space="preserve"> </w:t>
            </w:r>
            <w:r w:rsidRPr="002276AC">
              <w:t>и</w:t>
            </w:r>
            <w:r>
              <w:t xml:space="preserve"> </w:t>
            </w:r>
            <w:proofErr w:type="gramStart"/>
            <w:r w:rsidRPr="002276AC">
              <w:t>испытаний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 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proofErr w:type="gramStart"/>
            <w:r w:rsidRPr="00B11879">
              <w:t>разметки.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 xml:space="preserve">7.4.  </w:t>
            </w:r>
            <w:r w:rsidRPr="0063502F">
              <w:t>Статистические данные о ДТП и местах концентрации очагов аварийности по годам (</w:t>
            </w:r>
            <w:r>
              <w:t>направление запроса</w:t>
            </w:r>
            <w:r w:rsidRPr="0063502F">
              <w:t xml:space="preserve"> в УГИБДД МВД по Республике Крым</w:t>
            </w:r>
            <w:proofErr w:type="gramStart"/>
            <w:r w:rsidRPr="0063502F">
              <w:t>)</w:t>
            </w:r>
            <w:r>
              <w:t>.*</w:t>
            </w:r>
            <w:proofErr w:type="gramEnd"/>
            <w:r>
              <w:t>*</w:t>
            </w:r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 xml:space="preserve">7.5.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proofErr w:type="gramStart"/>
            <w:r>
              <w:t>).*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7.6.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7.7.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</w:t>
            </w:r>
            <w:r w:rsidRPr="001F29BC">
              <w:lastRenderedPageBreak/>
              <w:t>загрязнения</w:t>
            </w:r>
            <w:r>
              <w:t xml:space="preserve">, </w:t>
            </w:r>
            <w:r w:rsidRPr="009B2729">
              <w:t>о наличии в зоне проектирования объектов культурного 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>ах, о наличии, местоположении 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t>7.8.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268"/>
              <w:gridCol w:w="1559"/>
            </w:tblGrid>
            <w:tr w:rsidR="00F242B0" w:rsidTr="00E93A64">
              <w:trPr>
                <w:trHeight w:val="546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spacing w:line="220" w:lineRule="exact"/>
                    <w:ind w:left="-113" w:right="-113"/>
                    <w:jc w:val="center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Технические параметры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Default="00F242B0" w:rsidP="00F242B0">
                  <w:pPr>
                    <w:spacing w:line="220" w:lineRule="exact"/>
                    <w:ind w:left="-57"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</w:t>
                  </w:r>
                  <w:r w:rsidRPr="007E06C6">
                    <w:rPr>
                      <w:sz w:val="22"/>
                    </w:rPr>
                    <w:t>о</w:t>
                  </w:r>
                </w:p>
                <w:p w:rsidR="00F242B0" w:rsidRPr="007E06C6" w:rsidRDefault="00A62D0F" w:rsidP="00F242B0">
                  <w:pPr>
                    <w:spacing w:line="220" w:lineRule="exact"/>
                    <w:ind w:left="-57"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реконструкции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Default="00F242B0" w:rsidP="00F242B0">
                  <w:pPr>
                    <w:spacing w:line="220" w:lineRule="exact"/>
                    <w:ind w:left="-113" w:right="-113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7E06C6">
                    <w:rPr>
                      <w:sz w:val="22"/>
                    </w:rPr>
                    <w:t>осле</w:t>
                  </w:r>
                </w:p>
                <w:p w:rsidR="00F242B0" w:rsidRPr="007E06C6" w:rsidRDefault="00A62D0F" w:rsidP="00F242B0">
                  <w:pPr>
                    <w:spacing w:line="220" w:lineRule="exact"/>
                    <w:ind w:left="-113" w:right="-113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реконструкции</w:t>
                  </w:r>
                </w:p>
              </w:tc>
            </w:tr>
            <w:tr w:rsidR="00F242B0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участка работ, км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Pr="00B57FE9" w:rsidRDefault="0059333F" w:rsidP="00F242B0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t>–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7E06C6" w:rsidRDefault="00F242B0" w:rsidP="00E76B03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</w:t>
                  </w:r>
                  <w:r w:rsidR="00E76B03">
                    <w:rPr>
                      <w:sz w:val="22"/>
                    </w:rPr>
                    <w:t>150</w:t>
                  </w:r>
                  <w:r>
                    <w:rPr>
                      <w:sz w:val="22"/>
                    </w:rPr>
                    <w:t>*</w:t>
                  </w:r>
                </w:p>
              </w:tc>
            </w:tr>
            <w:tr w:rsidR="00F242B0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Pr="00B57FE9" w:rsidRDefault="00F242B0" w:rsidP="005A6A66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I</w:t>
                  </w:r>
                  <w:r w:rsidR="003F7BEA">
                    <w:rPr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9C3336" w:rsidRDefault="003F7BEA" w:rsidP="00DB417D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II</w:t>
                  </w:r>
                </w:p>
              </w:tc>
            </w:tr>
            <w:tr w:rsidR="00F242B0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t>Расчетная скорость, км/ч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Pr="007E06C6" w:rsidRDefault="005A6A66" w:rsidP="00C77787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  <w:r w:rsidR="00470211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7E06C6" w:rsidRDefault="00FC61D1" w:rsidP="005A6A66">
                  <w:pPr>
                    <w:ind w:right="-57"/>
                    <w:jc w:val="center"/>
                    <w:rPr>
                      <w:sz w:val="22"/>
                    </w:rPr>
                  </w:pPr>
                  <w:r w:rsidRPr="000E7E28">
                    <w:rPr>
                      <w:sz w:val="22"/>
                    </w:rPr>
                    <w:t xml:space="preserve"> </w:t>
                  </w:r>
                  <w:r w:rsidR="009C3336">
                    <w:rPr>
                      <w:sz w:val="22"/>
                    </w:rPr>
                    <w:t xml:space="preserve"> </w:t>
                  </w:r>
                  <w:r w:rsidR="005A6A66">
                    <w:rPr>
                      <w:sz w:val="22"/>
                    </w:rPr>
                    <w:t>100</w:t>
                  </w:r>
                  <w:r w:rsidR="00F242B0">
                    <w:rPr>
                      <w:sz w:val="22"/>
                    </w:rPr>
                    <w:t>*</w:t>
                  </w:r>
                  <w:r w:rsidR="009C3336">
                    <w:rPr>
                      <w:sz w:val="22"/>
                    </w:rPr>
                    <w:t>*</w:t>
                  </w:r>
                </w:p>
              </w:tc>
            </w:tr>
            <w:tr w:rsidR="00F242B0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F242B0" w:rsidTr="00E93A64">
              <w:trPr>
                <w:trHeight w:val="27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Pr="007E06C6" w:rsidRDefault="00C83DEC" w:rsidP="00D36FDB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3,</w:t>
                  </w:r>
                  <w:r w:rsidR="00D36FDB">
                    <w:rPr>
                      <w:sz w:val="22"/>
                    </w:rPr>
                    <w:t>00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7E06C6" w:rsidRDefault="00F242B0" w:rsidP="005A6A66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3,</w:t>
                  </w:r>
                  <w:r w:rsidR="005A6A66">
                    <w:rPr>
                      <w:sz w:val="22"/>
                    </w:rPr>
                    <w:t>75</w:t>
                  </w:r>
                </w:p>
              </w:tc>
            </w:tr>
            <w:tr w:rsidR="00F242B0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F242B0" w:rsidRPr="007E06C6" w:rsidRDefault="00F242B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F242B0" w:rsidRPr="007E06C6" w:rsidRDefault="00D36FDB" w:rsidP="00470211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F242B0" w:rsidRPr="007E06C6" w:rsidRDefault="00F242B0" w:rsidP="00FF0F5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="00FF0F50">
                    <w:rPr>
                      <w:sz w:val="22"/>
                    </w:rPr>
                    <w:t>3,50</w:t>
                  </w:r>
                  <w:r>
                    <w:rPr>
                      <w:sz w:val="22"/>
                    </w:rPr>
                    <w:t>*</w:t>
                  </w:r>
                </w:p>
              </w:tc>
            </w:tr>
            <w:tr w:rsidR="00A62D0F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A62D0F" w:rsidRPr="007E06C6" w:rsidRDefault="00A62D0F" w:rsidP="00257D11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Длина </w:t>
                  </w:r>
                  <w:r w:rsidR="00257D11">
                    <w:rPr>
                      <w:sz w:val="22"/>
                    </w:rPr>
                    <w:t>путепровода</w:t>
                  </w:r>
                  <w:r>
                    <w:rPr>
                      <w:sz w:val="22"/>
                    </w:rPr>
                    <w:t>,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A62D0F" w:rsidRPr="00656F02" w:rsidRDefault="00D36FDB" w:rsidP="003F7BEA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36,00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A62D0F" w:rsidRDefault="00A62D0F" w:rsidP="00A62D0F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определить проектом</w:t>
                  </w:r>
                </w:p>
              </w:tc>
            </w:tr>
            <w:tr w:rsidR="00633194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633194" w:rsidRPr="007E06C6" w:rsidRDefault="00633194" w:rsidP="00257D11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Схема </w:t>
                  </w:r>
                  <w:r w:rsidR="00257D11">
                    <w:rPr>
                      <w:sz w:val="22"/>
                    </w:rPr>
                    <w:t>путепровода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7E06C6" w:rsidRDefault="00D36FDB" w:rsidP="00D36FDB">
                  <w:pPr>
                    <w:ind w:left="-57"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7,00 </w:t>
                  </w:r>
                  <w:r w:rsidR="00E93A64">
                    <w:rPr>
                      <w:sz w:val="22"/>
                    </w:rPr>
                    <w:t>+</w:t>
                  </w:r>
                  <w:r>
                    <w:rPr>
                      <w:sz w:val="22"/>
                    </w:rPr>
                    <w:t xml:space="preserve"> 22</w:t>
                  </w:r>
                  <w:r w:rsidR="00E93A64">
                    <w:rPr>
                      <w:sz w:val="22"/>
                    </w:rPr>
                    <w:t>,0</w:t>
                  </w:r>
                  <w:r>
                    <w:rPr>
                      <w:sz w:val="22"/>
                    </w:rPr>
                    <w:t xml:space="preserve"> </w:t>
                  </w:r>
                  <w:r w:rsidR="00E93A64">
                    <w:rPr>
                      <w:sz w:val="22"/>
                    </w:rPr>
                    <w:t>+</w:t>
                  </w:r>
                  <w:r>
                    <w:rPr>
                      <w:sz w:val="22"/>
                    </w:rPr>
                    <w:t xml:space="preserve"> 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33194" w:rsidRDefault="00633194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определить проектом</w:t>
                  </w:r>
                </w:p>
              </w:tc>
            </w:tr>
            <w:tr w:rsidR="00633194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633194" w:rsidRPr="007E06C6" w:rsidRDefault="00633194" w:rsidP="00436ECB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Габарит </w:t>
                  </w:r>
                  <w:r w:rsidR="00436ECB">
                    <w:rPr>
                      <w:sz w:val="22"/>
                    </w:rPr>
                    <w:t>путепровода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CF068A" w:rsidRDefault="00633194" w:rsidP="00D36FDB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Г</w:t>
                  </w:r>
                  <w:r w:rsidR="0059333F">
                    <w:t>–</w:t>
                  </w:r>
                  <w:r>
                    <w:rPr>
                      <w:sz w:val="22"/>
                    </w:rPr>
                    <w:t xml:space="preserve"> </w:t>
                  </w:r>
                  <w:r w:rsidR="00D36FDB">
                    <w:rPr>
                      <w:sz w:val="22"/>
                    </w:rPr>
                    <w:t>6,75</w:t>
                  </w:r>
                </w:p>
              </w:tc>
              <w:tc>
                <w:tcPr>
                  <w:tcW w:w="1559" w:type="dxa"/>
                  <w:vAlign w:val="center"/>
                </w:tcPr>
                <w:p w:rsidR="00633194" w:rsidRPr="007E06C6" w:rsidRDefault="00633194" w:rsidP="0059333F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Г</w:t>
                  </w:r>
                  <w:r w:rsidR="0059333F">
                    <w:t>–</w:t>
                  </w:r>
                  <w:r w:rsidR="00E93A64">
                    <w:rPr>
                      <w:sz w:val="22"/>
                    </w:rPr>
                    <w:t>11,5</w:t>
                  </w:r>
                  <w:r w:rsidR="0059333F"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*</w:t>
                  </w:r>
                </w:p>
              </w:tc>
            </w:tr>
            <w:tr w:rsidR="00E93A64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E93A64" w:rsidRDefault="00E93A64" w:rsidP="00E93A64">
                  <w:pPr>
                    <w:ind w:right="-57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Подмостовой</w:t>
                  </w:r>
                  <w:proofErr w:type="spellEnd"/>
                  <w:r>
                    <w:rPr>
                      <w:sz w:val="22"/>
                    </w:rPr>
                    <w:t xml:space="preserve"> габарит,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93A64" w:rsidRDefault="00D36FDB" w:rsidP="00E93A6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6,03</w:t>
                  </w:r>
                </w:p>
              </w:tc>
              <w:tc>
                <w:tcPr>
                  <w:tcW w:w="1559" w:type="dxa"/>
                  <w:vAlign w:val="center"/>
                </w:tcPr>
                <w:p w:rsidR="00E93A64" w:rsidRDefault="00E93A64" w:rsidP="00E93A6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определить проектом</w:t>
                  </w:r>
                </w:p>
              </w:tc>
            </w:tr>
            <w:tr w:rsidR="00633194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633194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тротуара, м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7E06C6" w:rsidRDefault="00D36FDB" w:rsidP="00D36FDB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1,25</w:t>
                  </w:r>
                  <w:r w:rsidR="00633194">
                    <w:rPr>
                      <w:sz w:val="22"/>
                    </w:rPr>
                    <w:t xml:space="preserve"> + </w:t>
                  </w:r>
                  <w:r w:rsidR="00E93A64">
                    <w:rPr>
                      <w:sz w:val="22"/>
                    </w:rPr>
                    <w:t>1,</w:t>
                  </w:r>
                  <w:r>
                    <w:rPr>
                      <w:sz w:val="22"/>
                    </w:rPr>
                    <w:t>44</w:t>
                  </w:r>
                </w:p>
              </w:tc>
              <w:tc>
                <w:tcPr>
                  <w:tcW w:w="1559" w:type="dxa"/>
                  <w:vAlign w:val="center"/>
                </w:tcPr>
                <w:p w:rsidR="008E6457" w:rsidRDefault="00633194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определить </w:t>
                  </w:r>
                  <w:r w:rsidR="006D1C1E">
                    <w:rPr>
                      <w:sz w:val="22"/>
                    </w:rPr>
                    <w:t xml:space="preserve"> </w:t>
                  </w:r>
                  <w:r w:rsidR="008E6457">
                    <w:rPr>
                      <w:sz w:val="22"/>
                    </w:rPr>
                    <w:t xml:space="preserve">  </w:t>
                  </w:r>
                </w:p>
                <w:p w:rsidR="00633194" w:rsidRDefault="008E6457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  <w:r w:rsidR="00633194">
                    <w:rPr>
                      <w:sz w:val="22"/>
                    </w:rPr>
                    <w:t>проектом</w:t>
                  </w:r>
                  <w:r w:rsidR="006D1C1E">
                    <w:rPr>
                      <w:sz w:val="22"/>
                    </w:rPr>
                    <w:t>**</w:t>
                  </w:r>
                </w:p>
              </w:tc>
            </w:tr>
            <w:tr w:rsidR="00633194" w:rsidTr="00E93A64">
              <w:trPr>
                <w:trHeight w:val="267"/>
              </w:trPr>
              <w:tc>
                <w:tcPr>
                  <w:tcW w:w="3261" w:type="dxa"/>
                  <w:vAlign w:val="center"/>
                </w:tcPr>
                <w:p w:rsidR="00633194" w:rsidRPr="007E06C6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Протяженность подходов, км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633194" w:rsidRPr="007E06C6" w:rsidRDefault="00633194" w:rsidP="00D36FDB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0,</w:t>
                  </w:r>
                  <w:r w:rsidR="00D36FDB">
                    <w:rPr>
                      <w:sz w:val="22"/>
                    </w:rPr>
                    <w:t>050</w:t>
                  </w:r>
                  <w:r>
                    <w:rPr>
                      <w:sz w:val="22"/>
                    </w:rPr>
                    <w:t xml:space="preserve"> + 0,</w:t>
                  </w:r>
                  <w:r w:rsidR="00D36FDB">
                    <w:rPr>
                      <w:sz w:val="22"/>
                    </w:rPr>
                    <w:t>050</w:t>
                  </w:r>
                  <w:r>
                    <w:rPr>
                      <w:sz w:val="22"/>
                    </w:rPr>
                    <w:t>*</w:t>
                  </w:r>
                </w:p>
              </w:tc>
            </w:tr>
            <w:tr w:rsidR="00633194" w:rsidTr="00E93A64">
              <w:trPr>
                <w:trHeight w:val="277"/>
              </w:trPr>
              <w:tc>
                <w:tcPr>
                  <w:tcW w:w="3261" w:type="dxa"/>
                  <w:vAlign w:val="center"/>
                </w:tcPr>
                <w:p w:rsidR="00633194" w:rsidRPr="007E06C6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Расчетные нагрузки (подходы)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АК11,5</w:t>
                  </w:r>
                </w:p>
              </w:tc>
            </w:tr>
            <w:tr w:rsidR="00633194" w:rsidTr="00E93A64">
              <w:trPr>
                <w:trHeight w:val="277"/>
              </w:trPr>
              <w:tc>
                <w:tcPr>
                  <w:tcW w:w="3261" w:type="dxa"/>
                  <w:vAlign w:val="center"/>
                </w:tcPr>
                <w:p w:rsidR="00633194" w:rsidRPr="007E06C6" w:rsidRDefault="00633194" w:rsidP="00257D11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Расчетные нагрузки (</w:t>
                  </w:r>
                  <w:r w:rsidR="00257D11">
                    <w:rPr>
                      <w:sz w:val="22"/>
                    </w:rPr>
                    <w:t>путепровод</w:t>
                  </w:r>
                  <w:r>
                    <w:rPr>
                      <w:sz w:val="22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3194" w:rsidRPr="007E06C6" w:rsidRDefault="00633194" w:rsidP="003D33D2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</w:t>
                  </w:r>
                  <w:r w:rsidR="003D33D2">
                    <w:rPr>
                      <w:sz w:val="22"/>
                    </w:rPr>
                    <w:t>13</w:t>
                  </w:r>
                  <w:r>
                    <w:rPr>
                      <w:sz w:val="22"/>
                    </w:rPr>
                    <w:t>, Н</w:t>
                  </w:r>
                  <w:r w:rsidR="003D33D2">
                    <w:rPr>
                      <w:sz w:val="22"/>
                    </w:rPr>
                    <w:t>Г60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33194" w:rsidRDefault="00633194" w:rsidP="00633194">
                  <w:pPr>
                    <w:ind w:left="-113"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А14, Н14</w:t>
                  </w:r>
                </w:p>
                <w:p w:rsidR="00633194" w:rsidRPr="007E06C6" w:rsidRDefault="00633194" w:rsidP="00633194">
                  <w:pPr>
                    <w:ind w:left="-113"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(НК102,8)</w:t>
                  </w:r>
                </w:p>
              </w:tc>
            </w:tr>
            <w:tr w:rsidR="00633194" w:rsidTr="00E93A64">
              <w:trPr>
                <w:trHeight w:val="277"/>
              </w:trPr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</w:tr>
            <w:tr w:rsidR="00633194" w:rsidTr="00E93A64">
              <w:trPr>
                <w:trHeight w:val="277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Pr="007E06C6" w:rsidRDefault="0063319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</w:tr>
            <w:tr w:rsidR="00633194" w:rsidTr="00E93A64">
              <w:trPr>
                <w:trHeight w:val="277"/>
              </w:trPr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Default="00633194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Наружное освещение, (да/нет)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Default="00CF54D4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3194" w:rsidRDefault="00633194" w:rsidP="00633194">
                  <w:pPr>
                    <w:spacing w:line="180" w:lineRule="exact"/>
                    <w:ind w:right="-57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9C3336" w:rsidRPr="00FA08E8" w:rsidRDefault="009C3336" w:rsidP="009C3336">
            <w:pPr>
              <w:spacing w:after="60" w:line="240" w:lineRule="exact"/>
              <w:ind w:right="-113"/>
            </w:pPr>
            <w:r w:rsidRPr="00FA08E8">
              <w:t>*      данные уточняются при проектировании.</w:t>
            </w:r>
          </w:p>
          <w:p w:rsidR="009C3336" w:rsidRPr="00FA08E8" w:rsidRDefault="009C3336" w:rsidP="009C3336">
            <w:pPr>
              <w:spacing w:line="240" w:lineRule="exact"/>
              <w:ind w:right="-113"/>
            </w:pPr>
            <w:r w:rsidRPr="00FA08E8">
              <w:t>**    в границах населенного пункта принять расчетные параметры,</w:t>
            </w:r>
          </w:p>
          <w:p w:rsidR="00F242B0" w:rsidRDefault="009C3336" w:rsidP="008E6457">
            <w:pPr>
              <w:spacing w:line="240" w:lineRule="exact"/>
              <w:ind w:right="-113"/>
            </w:pPr>
            <w:r w:rsidRPr="00FA08E8">
              <w:t xml:space="preserve">        соответствующие категории по</w:t>
            </w:r>
            <w:r>
              <w:t xml:space="preserve"> </w:t>
            </w:r>
            <w:r w:rsidRPr="00FA08E8">
              <w:t>СП</w:t>
            </w:r>
            <w:r>
              <w:t xml:space="preserve"> </w:t>
            </w:r>
            <w:r w:rsidRPr="00FA08E8">
              <w:t>42.13330.2016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242B0" w:rsidRDefault="00F242B0" w:rsidP="00F242B0">
            <w:pPr>
              <w:jc w:val="both"/>
            </w:pPr>
            <w:r>
              <w:t>9.1. Идентификационные признаки объекта проектирования в соответствии с Федеральным законом от 30.12.2009 № 384</w:t>
            </w:r>
            <w:r w:rsidR="0059333F">
              <w:t>–</w:t>
            </w:r>
            <w:r>
              <w:t>ФЗ «Технический регламент о безопасности зданий и сооружений»:</w:t>
            </w:r>
          </w:p>
          <w:p w:rsidR="00F242B0" w:rsidRPr="00A3115B" w:rsidRDefault="00F242B0" w:rsidP="00F242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</w:t>
            </w:r>
            <w:r w:rsidR="0059333F">
              <w:t>–</w:t>
            </w:r>
            <w:r>
    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Принадлежность к объектам транспортной инфраструктуры </w:t>
            </w:r>
            <w:r w:rsidR="0059333F">
              <w:t>–</w:t>
            </w:r>
            <w:r>
              <w:t xml:space="preserve"> в соответствии с п. 1 статьи 3 Федерального закона от 08.11.2007</w:t>
            </w:r>
            <w:r w:rsidR="0059333F">
              <w:br/>
            </w:r>
            <w:r>
              <w:t>№</w:t>
            </w:r>
            <w:r w:rsidR="0059333F">
              <w:t xml:space="preserve"> </w:t>
            </w:r>
            <w:r>
              <w:t>257</w:t>
            </w:r>
            <w:r w:rsidR="0059333F">
              <w:t>–</w:t>
            </w:r>
            <w:r>
    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</w:t>
            </w:r>
            <w:r w:rsidR="00010AA7">
              <w:t>действий – сейсмичность</w:t>
            </w:r>
            <w:r>
              <w:t>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lastRenderedPageBreak/>
              <w:t>Принадлежность к опасным производственным объектам – в соответствии с п. 1 ст</w:t>
            </w:r>
            <w:r w:rsidR="0059333F">
              <w:t xml:space="preserve">атьи </w:t>
            </w:r>
            <w:r>
              <w:t xml:space="preserve">48_1 Градостроительного кодекса </w:t>
            </w:r>
            <w:r w:rsidR="00010AA7">
              <w:t>Российской Федерации</w:t>
            </w:r>
            <w:r>
              <w:t>, сооружение не относится к опасным производственным объектам;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с </w:t>
            </w:r>
            <w:r w:rsidR="0059333F">
              <w:br/>
            </w:r>
            <w:r>
              <w:t>п.</w:t>
            </w:r>
            <w:r w:rsidR="0059333F">
              <w:t xml:space="preserve"> </w:t>
            </w:r>
            <w:r>
              <w:t>2 статьи 27 Федерального закона от 22.07.2008 № 123</w:t>
            </w:r>
            <w:r w:rsidR="0059333F">
              <w:t>–</w:t>
            </w:r>
            <w:r>
              <w:t>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</w:t>
            </w:r>
            <w:r w:rsidR="0059333F">
              <w:br/>
            </w:r>
            <w:r>
              <w:t>№</w:t>
            </w:r>
            <w:r w:rsidR="0059333F">
              <w:t xml:space="preserve"> </w:t>
            </w:r>
            <w:r>
              <w:t>384</w:t>
            </w:r>
            <w:r w:rsidR="0059333F">
              <w:t>–</w:t>
            </w:r>
            <w:r>
              <w:t>ФЗ «Технический регламент о безопасности зданий и сооружений», отсутствуют;</w:t>
            </w:r>
          </w:p>
          <w:p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Уровень ответственности </w:t>
            </w:r>
            <w:r w:rsidR="0059333F">
              <w:t>–</w:t>
            </w:r>
            <w:r>
              <w:t xml:space="preserve"> в соответствии с п. 9 статьи 4 Федерального закона от 30.12.2009   № 384</w:t>
            </w:r>
            <w:r w:rsidR="0059333F">
              <w:t>–</w:t>
            </w:r>
            <w:r>
              <w:t>ФЗ «Технический регламент о безопасности зданий и сооружений», нормальный.</w:t>
            </w:r>
          </w:p>
          <w:p w:rsidR="00F242B0" w:rsidRPr="0017176A" w:rsidRDefault="00F242B0" w:rsidP="00F242B0">
            <w:pPr>
              <w:jc w:val="both"/>
              <w:rPr>
                <w:u w:val="single"/>
              </w:rPr>
            </w:pPr>
            <w:r w:rsidRPr="0017176A">
              <w:rPr>
                <w:u w:val="single"/>
              </w:rPr>
              <w:t>9.1.</w:t>
            </w:r>
            <w:r w:rsidR="00010AA7" w:rsidRPr="0017176A">
              <w:rPr>
                <w:u w:val="single"/>
              </w:rPr>
              <w:t>2</w:t>
            </w:r>
            <w:r w:rsidRPr="0017176A">
              <w:rPr>
                <w:u w:val="single"/>
              </w:rPr>
              <w:t xml:space="preserve">.    </w:t>
            </w:r>
            <w:r w:rsidR="00257D11">
              <w:rPr>
                <w:u w:val="single"/>
              </w:rPr>
              <w:t>Путепровод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Назначение </w:t>
            </w:r>
            <w:r w:rsidR="0059333F">
              <w:t>–</w:t>
            </w:r>
            <w:r>
              <w:t xml:space="preserve"> в соответствии с п. 3 статьи 3 Федерального закона от 08.11.2007 № 257</w:t>
            </w:r>
            <w:r w:rsidR="0059333F">
              <w:t>–</w:t>
            </w:r>
            <w:r>
              <w:t xml:space="preserve"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257D11">
              <w:t>путепровод</w:t>
            </w:r>
            <w:r>
              <w:t xml:space="preserve"> является искусственным дорожным сооружением, предназначенным для движения транспортных средств и пешеходов, в месте пересечения автомобильной дороги с </w:t>
            </w:r>
            <w:r w:rsidR="00257D11">
              <w:t>железной дорогой</w:t>
            </w:r>
            <w:r>
              <w:t>;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– в соответствии с п. 1 статьи 3 Федерального закона от 08.11.2007</w:t>
            </w:r>
            <w:r w:rsidR="0059333F">
              <w:br/>
            </w:r>
            <w:r>
              <w:t>№ 257</w:t>
            </w:r>
            <w:r w:rsidR="0059333F">
              <w:t>–</w:t>
            </w:r>
            <w:r>
              <w:t xml:space="preserve"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257D11">
              <w:t>путепровод</w:t>
            </w:r>
            <w:r w:rsidR="0059333F">
              <w:t xml:space="preserve"> </w:t>
            </w:r>
            <w:r>
              <w:t>является технологической частью автомобильной дороги – объекта транспортной инфраструктуры;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сейсмичность;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особо опасным и технически сложным объектам – в соответствии с п. 1 ст</w:t>
            </w:r>
            <w:r w:rsidR="0059333F">
              <w:t>атьи</w:t>
            </w:r>
            <w:r>
              <w:t xml:space="preserve"> 48_1 Градостроительного кодекса </w:t>
            </w:r>
            <w:r w:rsidR="0059333F">
              <w:t>Российской Федерации</w:t>
            </w:r>
            <w:r>
              <w:t>, сооружение не относится к опасным производственным объектам;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</w:t>
            </w:r>
            <w:r w:rsidR="0059333F">
              <w:t xml:space="preserve"> </w:t>
            </w:r>
            <w:r>
              <w:t>2 статьи 27 Федерального закона от 22.07.2008 № 123</w:t>
            </w:r>
            <w:r w:rsidR="0059333F">
              <w:t>–</w:t>
            </w:r>
            <w:r>
              <w:t xml:space="preserve">ФЗ «Технический регламент о требованиях пожарной безопасности», </w:t>
            </w:r>
            <w:r w:rsidR="00257D11">
              <w:t>путепровод</w:t>
            </w:r>
            <w:r>
              <w:t xml:space="preserve"> не относится ни к одной из категорий по пожарной и взрывопожарной опасности;</w:t>
            </w:r>
          </w:p>
          <w:p w:rsidR="0017176A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</w:t>
            </w:r>
            <w:r w:rsidR="0059333F">
              <w:br/>
            </w:r>
            <w:r>
              <w:t>№ 384</w:t>
            </w:r>
            <w:r w:rsidR="0059333F">
              <w:t>–</w:t>
            </w:r>
            <w:r>
              <w:t>ФЗ «Технический регламент о безопасности зданий и сооружений», отсутствуют;</w:t>
            </w:r>
          </w:p>
          <w:p w:rsidR="00F242B0" w:rsidRDefault="0017176A" w:rsidP="0017176A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Уровень ответственности </w:t>
            </w:r>
            <w:r w:rsidR="0059333F">
              <w:t>–</w:t>
            </w:r>
            <w:r>
              <w:t xml:space="preserve"> в соответствии с п. 9 статьи 4 Фед</w:t>
            </w:r>
            <w:r w:rsidR="0059333F">
              <w:t xml:space="preserve">ерального закона от 30.12.2009 </w:t>
            </w:r>
            <w:r>
              <w:t>№ 384</w:t>
            </w:r>
            <w:r w:rsidR="0059333F">
              <w:t>–</w:t>
            </w:r>
            <w:r>
              <w:t>ФЗ «Технический регламент о безопасности зданий и сооружений», нормальный.</w:t>
            </w:r>
          </w:p>
          <w:p w:rsidR="00F242B0" w:rsidRDefault="00F242B0" w:rsidP="0059333F">
            <w:pPr>
              <w:spacing w:before="120"/>
              <w:jc w:val="both"/>
            </w:pPr>
            <w:r>
              <w:t>9.2.  В соответствии с п. 3.2 и по приложению А ГОСТ 27751</w:t>
            </w:r>
            <w:r w:rsidR="0059333F">
              <w:t>–</w:t>
            </w:r>
            <w:r>
              <w:t>2014 «Надежность строительных конструкций и оснований. Основные положения» класс сооружений принять КС-2.</w:t>
            </w:r>
          </w:p>
          <w:p w:rsidR="008E6457" w:rsidRPr="00D12049" w:rsidRDefault="008E6457" w:rsidP="00C6681C">
            <w:pPr>
              <w:spacing w:before="120"/>
              <w:jc w:val="both"/>
            </w:pPr>
            <w:r>
              <w:lastRenderedPageBreak/>
              <w:t>9.3. Код объекта по назначению и функционально-технологическим особенностям – 04.0</w:t>
            </w:r>
            <w:r w:rsidR="00C6681C">
              <w:t>6</w:t>
            </w:r>
            <w:r>
              <w:t>.001.0</w:t>
            </w:r>
            <w:r w:rsidR="00C6681C">
              <w:t>02</w:t>
            </w:r>
            <w:r>
              <w:t xml:space="preserve"> (</w:t>
            </w:r>
            <w:r w:rsidR="00C6681C">
              <w:t>с</w:t>
            </w:r>
            <w:r w:rsidR="00C6681C" w:rsidRPr="00C6681C">
              <w:t>ооружение автодорожного путепровода-эстакады</w:t>
            </w:r>
            <w:r>
              <w:t>), в соответствии с</w:t>
            </w:r>
            <w:r w:rsidR="00C6681C">
              <w:t xml:space="preserve"> </w:t>
            </w:r>
            <w:r>
              <w:t>п. 04.0</w:t>
            </w:r>
            <w:r w:rsidR="00C6681C">
              <w:t>6</w:t>
            </w:r>
            <w:r>
              <w:t xml:space="preserve">. </w:t>
            </w:r>
            <w:r>
              <w:rPr>
                <w:rStyle w:val="doccaption"/>
              </w:rPr>
              <w:t>Приказа Министерства строительства и жилищно-коммунального хозяйства Российской Федерации от 02.11.2022 № 928/</w:t>
            </w:r>
            <w:proofErr w:type="spellStart"/>
            <w:r>
              <w:rPr>
                <w:rStyle w:val="doccaption"/>
              </w:rPr>
              <w:t>пр</w:t>
            </w:r>
            <w:proofErr w:type="spellEnd"/>
            <w:r>
              <w:rPr>
                <w:rStyle w:val="doccaption"/>
              </w:rPr>
      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 w:rsidR="00470211">
              <w:t>реконструкции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>
              <w:t xml:space="preserve">», </w:t>
            </w:r>
            <w:r w:rsidRPr="00796304">
              <w:t xml:space="preserve">ГОСТ 33179-2014 </w:t>
            </w:r>
            <w:r>
              <w:t>«</w:t>
            </w:r>
            <w:r w:rsidRPr="00796304">
              <w:t>Дороги автомобильные общего пользования. Изыскания мостов и путепроводов. Общие требования</w:t>
            </w:r>
            <w:r>
              <w:t>»,</w:t>
            </w:r>
            <w:r w:rsidR="00010AA7">
              <w:t xml:space="preserve"> </w:t>
            </w:r>
            <w:r>
              <w:t>а также:</w:t>
            </w:r>
          </w:p>
          <w:p w:rsidR="00F242B0" w:rsidRDefault="00F242B0" w:rsidP="00F242B0">
            <w:pPr>
              <w:jc w:val="both"/>
            </w:pPr>
            <w:r>
              <w:t>- по инженерно-геодезическим изысканиям – СП 11</w:t>
            </w:r>
            <w:r w:rsidR="005C1F92">
              <w:t>–</w:t>
            </w:r>
            <w:r>
              <w:t>104</w:t>
            </w:r>
            <w:r w:rsidR="005C1F92">
              <w:t>–</w:t>
            </w:r>
            <w:r>
              <w:t>97 «</w:t>
            </w:r>
            <w:r w:rsidRPr="00584136">
              <w:t>Инженерно-геодезические изыскания для строительства</w:t>
            </w:r>
            <w:r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Pr="00B5399C">
              <w:t>ГОСТ 32869</w:t>
            </w:r>
            <w:r w:rsidR="005C1F92">
              <w:t>–</w:t>
            </w:r>
            <w:r w:rsidRPr="00B5399C">
              <w:t>2014</w:t>
            </w:r>
            <w:r>
              <w:t xml:space="preserve"> «</w:t>
            </w:r>
            <w:r w:rsidRPr="00B5399C">
              <w:t>Дороги автомобильные общего пользования. Требования к проведению топографо-геодезических изысканий</w:t>
            </w:r>
            <w:r>
              <w:t>»;</w:t>
            </w:r>
          </w:p>
          <w:p w:rsidR="00F242B0" w:rsidRDefault="00F242B0" w:rsidP="00F242B0">
            <w:pPr>
              <w:jc w:val="both"/>
            </w:pPr>
            <w:r>
              <w:t>- по инженерно-геологическим изысканиям – СП 11</w:t>
            </w:r>
            <w:r w:rsidR="005C1F92">
              <w:t>–</w:t>
            </w:r>
            <w:r>
              <w:t>105</w:t>
            </w:r>
            <w:r w:rsidR="005C1F92">
              <w:t>–</w:t>
            </w:r>
            <w:r>
              <w:t>97 «</w:t>
            </w:r>
            <w:r w:rsidRPr="00B5399C">
              <w:t>Инженерно-геологические изыскания для строительства</w:t>
            </w:r>
            <w:r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Pr="00B5399C">
              <w:t>ГОСТ 32868</w:t>
            </w:r>
            <w:r w:rsidR="005C1F92">
              <w:t>–</w:t>
            </w:r>
            <w:r w:rsidRPr="00B5399C">
              <w:t>2014</w:t>
            </w:r>
            <w:r>
              <w:t xml:space="preserve"> «</w:t>
            </w:r>
            <w:r w:rsidRPr="00B5399C">
              <w:t>Дороги автомобильные общего пользования. Требования к проведению инженерно-геологических изысканий</w:t>
            </w:r>
            <w:r>
              <w:t>»;</w:t>
            </w:r>
          </w:p>
          <w:p w:rsidR="00F242B0" w:rsidRDefault="00F242B0" w:rsidP="00F242B0">
            <w:pPr>
              <w:jc w:val="both"/>
            </w:pPr>
            <w:r>
              <w:t>- по инженерно-геофизическим изысканиям (сейсмическое микрорайонирование) – СП 11</w:t>
            </w:r>
            <w:r w:rsidR="005C1F92">
              <w:t>–</w:t>
            </w:r>
            <w:r>
              <w:t>105</w:t>
            </w:r>
            <w:r w:rsidR="005C1F92">
              <w:t>–</w:t>
            </w:r>
            <w:r>
              <w:t>97 «</w:t>
            </w:r>
            <w:r w:rsidRPr="00B5399C">
              <w:t>Инженерно-геологические изыскания для строительства</w:t>
            </w:r>
            <w:r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Pr="00B5399C">
              <w:t>ГОСТ 32868</w:t>
            </w:r>
            <w:r w:rsidR="005C1F92">
              <w:t>–</w:t>
            </w:r>
            <w:r w:rsidRPr="00B5399C">
              <w:t>2014</w:t>
            </w:r>
            <w:r>
              <w:t xml:space="preserve"> «</w:t>
            </w:r>
            <w:r w:rsidRPr="00B5399C">
              <w:t>Дороги автомобильные общего пользования. Требования к проведению инженерно-геологических изысканий</w:t>
            </w:r>
            <w:r>
              <w:t xml:space="preserve">», </w:t>
            </w:r>
            <w:r w:rsidRPr="00A65C76">
              <w:t>РСН 65</w:t>
            </w:r>
            <w:r w:rsidR="005C1F92">
              <w:t>–</w:t>
            </w:r>
            <w:r w:rsidRPr="00A65C76">
              <w:t>87</w:t>
            </w:r>
            <w:r>
              <w:t xml:space="preserve"> «</w:t>
            </w:r>
            <w:r w:rsidRPr="00A65C76">
              <w:t>Инженерные изыскания для строительства. Сейсмическое микрорайонирование.</w:t>
            </w:r>
            <w:r>
              <w:t xml:space="preserve"> Технические требования к производству работ»;</w:t>
            </w:r>
          </w:p>
          <w:p w:rsidR="00F242B0" w:rsidRDefault="00F242B0" w:rsidP="00F242B0">
            <w:pPr>
              <w:jc w:val="both"/>
            </w:pPr>
            <w:r>
              <w:t xml:space="preserve">- по </w:t>
            </w:r>
            <w:r w:rsidRPr="007E5A20">
              <w:t>инженерно-экологически</w:t>
            </w:r>
            <w:r>
              <w:t>м</w:t>
            </w:r>
            <w:r w:rsidRPr="007E5A20">
              <w:t xml:space="preserve"> изыскания</w:t>
            </w:r>
            <w:r>
              <w:t>м – СП 11</w:t>
            </w:r>
            <w:r w:rsidR="005C1F92">
              <w:t>–</w:t>
            </w:r>
            <w:r>
              <w:t>102</w:t>
            </w:r>
            <w:r w:rsidR="005C1F92">
              <w:t>–</w:t>
            </w:r>
            <w:r>
              <w:t>97 «</w:t>
            </w:r>
            <w:r w:rsidRPr="00A65C76">
              <w:t>Инженерно-экологические изыскания для строительства</w:t>
            </w:r>
            <w:r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Pr="00A65C76">
              <w:t>ГОСТ 32847</w:t>
            </w:r>
            <w:r w:rsidR="005C1F92">
              <w:t>–</w:t>
            </w:r>
            <w:r w:rsidRPr="00A65C76">
              <w:t xml:space="preserve">2014 </w:t>
            </w:r>
            <w:r>
              <w:t>«</w:t>
            </w:r>
            <w:r w:rsidRPr="00A65C76">
              <w:t>Дороги автомобильные общего пользования. Требования к проведению экологических изысканий</w:t>
            </w:r>
            <w:r>
              <w:t>»;</w:t>
            </w:r>
          </w:p>
          <w:p w:rsidR="00F242B0" w:rsidRDefault="00F242B0" w:rsidP="00F242B0">
            <w:pPr>
              <w:jc w:val="both"/>
            </w:pPr>
            <w:r w:rsidRPr="007E5A20">
              <w:lastRenderedPageBreak/>
              <w:t xml:space="preserve">- </w:t>
            </w:r>
            <w:r>
              <w:t>по</w:t>
            </w:r>
            <w:r w:rsidRPr="007E5A20">
              <w:t xml:space="preserve"> инженерно-гидрометеорологически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  <w:r w:rsidRPr="00796304">
              <w:t>СП 11</w:t>
            </w:r>
            <w:r w:rsidR="005C1F92">
              <w:t>–</w:t>
            </w:r>
            <w:r w:rsidRPr="00796304">
              <w:t>103</w:t>
            </w:r>
            <w:r w:rsidR="005C1F92">
              <w:t>–</w:t>
            </w:r>
            <w:r w:rsidR="00262139">
              <w:t>9</w:t>
            </w:r>
            <w:r w:rsidRPr="00796304">
              <w:t>7</w:t>
            </w:r>
            <w:r w:rsidR="005C1F92">
              <w:t xml:space="preserve"> </w:t>
            </w:r>
            <w:r>
              <w:t>«</w:t>
            </w:r>
            <w:r w:rsidRPr="00796304">
              <w:t>Инженерно-гидрометеорологические изыскания для строительства</w:t>
            </w:r>
            <w:r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>
              <w:t>;</w:t>
            </w:r>
          </w:p>
          <w:p w:rsidR="00F242B0" w:rsidRDefault="00F242B0" w:rsidP="00F242B0">
            <w:pPr>
              <w:jc w:val="both"/>
            </w:pPr>
            <w:r>
              <w:t xml:space="preserve">- </w:t>
            </w:r>
            <w:r w:rsidR="00262139">
              <w:t xml:space="preserve">по предпроектному обследованию автомобильной дороги и мостовому сооружению </w:t>
            </w:r>
            <w:r w:rsidR="005C1F92">
              <w:t>–</w:t>
            </w:r>
            <w:r w:rsidR="00262139">
              <w:t xml:space="preserve"> </w:t>
            </w:r>
            <w:r w:rsidR="00262139" w:rsidRPr="00B7143A">
              <w:t>ГОСТ Р 50597</w:t>
            </w:r>
            <w:r w:rsidR="005C1F92">
              <w:t>–</w:t>
            </w:r>
            <w:r w:rsidR="00262139" w:rsidRPr="00B7143A">
              <w:t>2017</w:t>
            </w:r>
            <w:r w:rsidR="00262139">
              <w:t xml:space="preserve"> «</w:t>
            </w:r>
            <w:r w:rsidR="00262139" w:rsidRPr="00B7143A"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 w:rsidR="00262139">
              <w:t xml:space="preserve">», </w:t>
            </w:r>
            <w:r w:rsidR="00534779">
              <w:t>ГОСТ Р 59618-2021 «</w:t>
            </w:r>
            <w:r w:rsidR="00534779" w:rsidRPr="00534779">
              <w:t>Дороги автомобильные общего пользования. Мостовые сооружения. Правила обследований и методы испытаний</w:t>
            </w:r>
            <w:r w:rsidR="00534779">
              <w:t xml:space="preserve">», </w:t>
            </w:r>
            <w:r w:rsidR="00262139" w:rsidRPr="00B7143A">
              <w:t>ОДМ 218.4.039</w:t>
            </w:r>
            <w:r w:rsidR="005C1F92">
              <w:t>–</w:t>
            </w:r>
            <w:r w:rsidR="00262139" w:rsidRPr="00B7143A">
              <w:t>2018</w:t>
            </w:r>
            <w:r w:rsidR="00262139">
              <w:t xml:space="preserve"> «</w:t>
            </w:r>
            <w:r w:rsidR="00262139" w:rsidRPr="00B7143A">
              <w:t>Рекомендации по диагностике и оценке технического состояния автомобильных дорог</w:t>
            </w:r>
            <w:r w:rsidR="00262139">
              <w:t xml:space="preserve">», </w:t>
            </w:r>
            <w:r w:rsidR="00534779" w:rsidRPr="00534779">
              <w:t xml:space="preserve">ОДМ 218.2.044-2014 </w:t>
            </w:r>
            <w:r w:rsidR="00534779">
              <w:t>«</w:t>
            </w:r>
            <w:r w:rsidR="00534779" w:rsidRPr="00534779">
              <w:t>Рекомендации по выполнению приборных и инструментальных измерений при оценке технического состояния мостовых сооружений на автомобильных дорогах</w:t>
            </w:r>
            <w:r w:rsidR="00534779">
              <w:t>»</w:t>
            </w:r>
            <w:r w:rsidR="00E12C2F">
              <w:t xml:space="preserve">, </w:t>
            </w:r>
            <w:r w:rsidR="00534779" w:rsidRPr="00534779">
              <w:t xml:space="preserve">ОДМ 218.3.042-2014 </w:t>
            </w:r>
            <w:r w:rsidR="00534779">
              <w:t>«</w:t>
            </w:r>
            <w:r w:rsidR="00534779" w:rsidRPr="00534779">
              <w:t>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</w:t>
            </w:r>
            <w:r w:rsidR="00534779">
              <w:t xml:space="preserve">», </w:t>
            </w:r>
            <w:r w:rsidR="00E12C2F" w:rsidRPr="00C40AE7">
              <w:t>ОДМ 218.3.014</w:t>
            </w:r>
            <w:r w:rsidR="005C1F92">
              <w:t>–</w:t>
            </w:r>
            <w:r w:rsidR="00E12C2F" w:rsidRPr="00C40AE7">
              <w:t>2011 «Методика оценки технического состояния мостовых сооружений на автомобильных дорогах»</w:t>
            </w:r>
            <w:r w:rsidR="00E12C2F">
              <w:t>,</w:t>
            </w:r>
            <w:r w:rsidR="004E3635">
              <w:br/>
            </w:r>
            <w:r w:rsidR="00262139" w:rsidRPr="00B7143A">
              <w:t>СП 79.13330.2012</w:t>
            </w:r>
            <w:r w:rsidR="00262139">
              <w:t xml:space="preserve"> «</w:t>
            </w:r>
            <w:r w:rsidR="00262139" w:rsidRPr="00B7143A">
              <w:t>Мосты и трубы. Правила обследований и испытаний</w:t>
            </w:r>
            <w:r w:rsidR="00262139">
              <w:t>»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продольного профиля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сооружения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470211">
              <w:t>реконструкции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Pr="00333EB5">
              <w:t>Знаки, позволяющие вынести на местность ось реконструируемого участка,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>
              <w:rPr>
                <w:sz w:val="23"/>
                <w:szCs w:val="23"/>
              </w:rPr>
              <w:t>.</w:t>
            </w:r>
            <w:r w:rsidR="003938CF">
              <w:rPr>
                <w:sz w:val="23"/>
                <w:szCs w:val="23"/>
              </w:rPr>
              <w:t xml:space="preserve"> </w:t>
            </w:r>
            <w:r w:rsidR="00E12C2F" w:rsidRPr="00EB59DE">
              <w:rPr>
                <w:sz w:val="23"/>
                <w:szCs w:val="23"/>
              </w:rPr>
              <w:t xml:space="preserve">В случае необходимости перенаправления транспортного потока на </w:t>
            </w:r>
            <w:r w:rsidR="00E12C2F" w:rsidRPr="00EB59DE">
              <w:rPr>
                <w:sz w:val="23"/>
                <w:szCs w:val="23"/>
              </w:rPr>
              <w:lastRenderedPageBreak/>
              <w:t xml:space="preserve">период </w:t>
            </w:r>
            <w:r w:rsidR="00650E69">
              <w:rPr>
                <w:sz w:val="23"/>
                <w:szCs w:val="23"/>
              </w:rPr>
              <w:t>реконструкции</w:t>
            </w:r>
            <w:r w:rsidR="00E12C2F" w:rsidRPr="00EB59DE">
              <w:rPr>
                <w:sz w:val="23"/>
                <w:szCs w:val="23"/>
              </w:rPr>
              <w:t xml:space="preserve"> по специально устраиваемому временному объезду</w:t>
            </w:r>
            <w:r w:rsidR="00BF3223">
              <w:rPr>
                <w:sz w:val="23"/>
                <w:szCs w:val="23"/>
              </w:rPr>
              <w:t xml:space="preserve"> (при соответствующем обосновании)</w:t>
            </w:r>
            <w:r w:rsidR="00E12C2F">
              <w:rPr>
                <w:sz w:val="23"/>
                <w:szCs w:val="23"/>
              </w:rPr>
              <w:t xml:space="preserve"> л</w:t>
            </w:r>
            <w:r w:rsidR="00E12C2F" w:rsidRPr="00F301BE">
              <w:t>ибо по существующим автомобильным дорогам</w:t>
            </w:r>
            <w:r w:rsidR="00E12C2F" w:rsidRPr="00EB59DE">
              <w:rPr>
                <w:sz w:val="23"/>
                <w:szCs w:val="23"/>
              </w:rPr>
              <w:t>, выполнить дополнительную топографическую съемку участка местности, по которому будет осуществляться временное движение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066296">
              <w:t>реконструируемого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 xml:space="preserve">. </w:t>
            </w:r>
            <w:r w:rsidR="00066296" w:rsidRPr="005050D7">
              <w:t>Глубина проходки горных выработок</w:t>
            </w:r>
            <w:r w:rsidR="00066296">
              <w:t xml:space="preserve"> </w:t>
            </w:r>
            <w:r w:rsidR="00066296" w:rsidRPr="005050D7">
              <w:t>определяется из необходимости получения исходных данных для расчета фундаментов на глубину ниже зоны их опирания</w:t>
            </w:r>
            <w:r w:rsidR="00066296">
              <w:t xml:space="preserve"> </w:t>
            </w:r>
            <w:r w:rsidR="00066296" w:rsidRPr="005050D7">
              <w:t>для определения устойчивости грунтов основания сооружения</w:t>
            </w:r>
            <w:r w:rsidR="00066296">
              <w:t xml:space="preserve">. </w:t>
            </w:r>
            <w:r w:rsidR="00C274BC">
              <w:t>При необходимости</w:t>
            </w:r>
            <w:r>
              <w:t xml:space="preserve"> проектирования временного объезда</w:t>
            </w:r>
            <w:r w:rsidR="00420044">
              <w:t xml:space="preserve"> (при соответствующем обосновании)</w:t>
            </w:r>
            <w:r>
              <w:t xml:space="preserve"> </w:t>
            </w:r>
            <w:r w:rsidR="00C274BC">
              <w:t xml:space="preserve">дополнительно выполнить бурение </w:t>
            </w:r>
            <w:r w:rsidR="00065934">
              <w:t>требуемого</w:t>
            </w:r>
            <w:r>
              <w:t xml:space="preserve"> количества скважин</w:t>
            </w:r>
            <w:r w:rsidR="00C274BC">
              <w:t>, определенного нормативами</w:t>
            </w:r>
            <w:r>
              <w:t>. 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 </w:t>
            </w:r>
            <w:r w:rsidR="003F5E3B">
              <w:rPr>
                <w:sz w:val="23"/>
                <w:szCs w:val="23"/>
              </w:rPr>
              <w:t>реконструкции</w:t>
            </w:r>
            <w:r>
              <w:t>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066296">
              <w:rPr>
                <w:sz w:val="23"/>
                <w:szCs w:val="23"/>
              </w:rPr>
              <w:t>реконструкции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выбора варианта </w:t>
            </w:r>
            <w:r w:rsidR="003F5E3B">
              <w:rPr>
                <w:sz w:val="23"/>
                <w:szCs w:val="23"/>
              </w:rPr>
              <w:t>реконструируемого объекта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 xml:space="preserve"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</w:t>
            </w:r>
            <w:r w:rsidRPr="009D40BB">
              <w:lastRenderedPageBreak/>
              <w:t>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237B91">
              <w:t>проведения рекогносцировочного обследования участка работ, обработки статистических данных, определения площадей и уклонов водосборов</w:t>
            </w:r>
            <w:r w:rsidR="008E47D5">
              <w:t xml:space="preserve">. </w:t>
            </w:r>
            <w:r w:rsidR="008E47D5" w:rsidRPr="00336AE9">
              <w:t xml:space="preserve">Инженерно-гидрометеорологические изыскания должны обеспечивать оценку </w:t>
            </w:r>
            <w:r w:rsidR="00237B91">
              <w:t>гидрологических</w:t>
            </w:r>
            <w:r w:rsidR="008E47D5" w:rsidRPr="00336AE9">
              <w:t xml:space="preserve"> и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8E47D5">
              <w:t xml:space="preserve">реконструируемого </w:t>
            </w:r>
            <w:r w:rsidR="008E47D5" w:rsidRPr="00336AE9">
              <w:t>сооружени</w:t>
            </w:r>
            <w:r w:rsidR="008E47D5">
              <w:t>я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3F5E3B">
              <w:t>реконструкции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F242B0" w:rsidRDefault="00F242B0" w:rsidP="00F242B0">
            <w:pPr>
              <w:jc w:val="both"/>
            </w:pPr>
            <w:r w:rsidRPr="00C40AE7">
              <w:rPr>
                <w:u w:val="single"/>
              </w:rPr>
              <w:t>Предпроектные обследования</w:t>
            </w:r>
            <w:r>
              <w:t xml:space="preserve"> выполнить</w:t>
            </w:r>
            <w:r w:rsidR="00506D26">
              <w:t xml:space="preserve"> путем проведения</w:t>
            </w:r>
            <w:r>
              <w:t xml:space="preserve"> комплексн</w:t>
            </w:r>
            <w:r w:rsidR="00506D26">
              <w:t>ого</w:t>
            </w:r>
            <w:r>
              <w:t xml:space="preserve"> (приборно</w:t>
            </w:r>
            <w:r w:rsidR="00506D26">
              <w:t>го</w:t>
            </w:r>
            <w:r>
              <w:t>, инструментально</w:t>
            </w:r>
            <w:r w:rsidR="00506D26">
              <w:t>го</w:t>
            </w:r>
            <w:r>
              <w:t>) обследовани</w:t>
            </w:r>
            <w:r w:rsidR="00506D26">
              <w:t>я</w:t>
            </w:r>
            <w:r>
              <w:t xml:space="preserve"> </w:t>
            </w:r>
            <w:r w:rsidR="00257D11">
              <w:t>путепровода</w:t>
            </w:r>
            <w:r w:rsidR="00065934">
              <w:t xml:space="preserve"> и</w:t>
            </w:r>
            <w:r>
              <w:t xml:space="preserve"> подходов с исследованием свойств материалов и конструкций неразрушающими методами. Дать оценку </w:t>
            </w:r>
            <w:r w:rsidRPr="00C40AE7">
              <w:t>состояни</w:t>
            </w:r>
            <w:r>
              <w:t>ю</w:t>
            </w:r>
            <w:r w:rsidRPr="00C40AE7">
              <w:t xml:space="preserve"> грунтов оснований сооружени</w:t>
            </w:r>
            <w:r>
              <w:t>й</w:t>
            </w:r>
            <w:r w:rsidRPr="00C40AE7">
              <w:t>, строительны</w:t>
            </w:r>
            <w:r>
              <w:t xml:space="preserve">м конструкциям, </w:t>
            </w:r>
            <w:r w:rsidRPr="00C40AE7">
              <w:t>фундамент</w:t>
            </w:r>
            <w:r>
              <w:t>ам</w:t>
            </w:r>
            <w:r w:rsidRPr="00C40AE7">
              <w:t xml:space="preserve"> и опор</w:t>
            </w:r>
            <w:r>
              <w:t>ам</w:t>
            </w:r>
            <w:r w:rsidRPr="00C40AE7">
              <w:t xml:space="preserve"> с целью определения их несущей способности</w:t>
            </w:r>
            <w:r>
              <w:t>, а также дать рекомендации</w:t>
            </w:r>
            <w:r w:rsidR="000337D2">
              <w:t xml:space="preserve"> </w:t>
            </w:r>
            <w:r>
              <w:t xml:space="preserve">о </w:t>
            </w:r>
            <w:r w:rsidRPr="00E14996">
              <w:t>возможности использования существующих конструктивных элементов</w:t>
            </w:r>
            <w:r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257D11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257D11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3F5E3B">
              <w:rPr>
                <w:sz w:val="23"/>
                <w:szCs w:val="23"/>
              </w:rPr>
              <w:t>реконструкции</w:t>
            </w:r>
            <w:r w:rsidRPr="00D8400B">
              <w:t xml:space="preserve"> или необходимости дополнительных специальных обследований конструкций объекта,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257D11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и предпроектного обследования</w:t>
            </w:r>
            <w:r w:rsidR="00065934">
              <w:t xml:space="preserve"> </w:t>
            </w:r>
            <w:r>
              <w:t>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3F5E3B">
              <w:rPr>
                <w:sz w:val="23"/>
                <w:szCs w:val="23"/>
              </w:rPr>
              <w:t>реконструкции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3F5E3B">
              <w:rPr>
                <w:sz w:val="23"/>
                <w:szCs w:val="23"/>
              </w:rPr>
              <w:t>реконструкции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257D11">
              <w:t>5</w:t>
            </w:r>
            <w:r>
              <w:t>.</w:t>
            </w:r>
            <w:r w:rsidR="008D3149">
              <w:t xml:space="preserve">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 xml:space="preserve">форматы файлов с возможностью </w:t>
            </w:r>
            <w:r w:rsidR="008D3149" w:rsidRPr="001D2A5C">
              <w:lastRenderedPageBreak/>
              <w:t>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257D11">
            <w:pPr>
              <w:numPr>
                <w:ilvl w:val="0"/>
                <w:numId w:val="4"/>
              </w:num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257D11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>.1. В соответствии</w:t>
            </w:r>
            <w:r w:rsidR="008D3149" w:rsidRPr="00F23FE0">
              <w:t xml:space="preserve"> </w:t>
            </w:r>
            <w:r w:rsidRPr="00F23FE0">
              <w:t>с</w:t>
            </w:r>
            <w:r w:rsidR="008D3149" w:rsidRPr="00F23FE0">
              <w:t xml:space="preserve"> </w:t>
            </w:r>
            <w:r w:rsidRPr="00F23FE0">
              <w:t>Градостроительным</w:t>
            </w:r>
            <w:r w:rsidR="008D3149" w:rsidRPr="00F23FE0">
              <w:t xml:space="preserve"> </w:t>
            </w:r>
            <w:r w:rsidRPr="00F23FE0">
              <w:t>кодексом</w:t>
            </w:r>
            <w:r w:rsidR="008D3149" w:rsidRPr="00F23FE0">
              <w:t xml:space="preserve"> Российской Федерации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29.12.2004</w:t>
            </w:r>
            <w:r w:rsidR="008D3149" w:rsidRPr="00F23FE0">
              <w:t xml:space="preserve"> </w:t>
            </w:r>
            <w:r w:rsidRPr="00F23FE0">
              <w:t>№ 190</w:t>
            </w:r>
            <w:r w:rsidR="00506D26">
              <w:t>–</w:t>
            </w:r>
            <w:r w:rsidRPr="00F23FE0">
              <w:t>ФЗ,</w:t>
            </w:r>
            <w:r w:rsidR="008D3149" w:rsidRPr="00F23FE0">
              <w:t xml:space="preserve"> </w:t>
            </w:r>
            <w:r w:rsidRPr="00F23FE0">
              <w:t xml:space="preserve"> Федеральным</w:t>
            </w:r>
            <w:r w:rsidR="008D3149" w:rsidRPr="00F23FE0">
              <w:t xml:space="preserve"> </w:t>
            </w:r>
            <w:r w:rsidRPr="00F23FE0">
              <w:t>законом</w:t>
            </w:r>
            <w:r w:rsidR="008D3149" w:rsidRPr="00F23FE0">
              <w:t xml:space="preserve"> </w:t>
            </w:r>
            <w:r w:rsidRPr="00F23FE0">
              <w:t>«Об</w:t>
            </w:r>
            <w:r w:rsidR="008D3149" w:rsidRPr="00F23FE0">
              <w:t xml:space="preserve"> </w:t>
            </w:r>
            <w:r w:rsidRPr="00F23FE0">
              <w:t>автомобильных</w:t>
            </w:r>
            <w:r w:rsidR="008D3149" w:rsidRPr="00F23FE0">
              <w:t xml:space="preserve"> </w:t>
            </w:r>
            <w:r w:rsidRPr="00F23FE0">
              <w:t>дорогах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дорожной</w:t>
            </w:r>
            <w:r w:rsidR="008D3149" w:rsidRPr="00F23FE0">
              <w:t xml:space="preserve"> </w:t>
            </w:r>
            <w:r w:rsidRPr="00F23FE0">
              <w:t>деятельности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внесении</w:t>
            </w:r>
            <w:r w:rsidR="008D3149" w:rsidRPr="00F23FE0">
              <w:t xml:space="preserve"> </w:t>
            </w:r>
            <w:r w:rsidRPr="00F23FE0">
              <w:t>изменений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отдельные</w:t>
            </w:r>
            <w:r w:rsidR="008D3149" w:rsidRPr="00F23FE0">
              <w:t xml:space="preserve"> </w:t>
            </w:r>
            <w:r w:rsidRPr="00F23FE0">
              <w:t>законодательные</w:t>
            </w:r>
            <w:r w:rsidR="008D3149" w:rsidRPr="00F23FE0">
              <w:t xml:space="preserve"> </w:t>
            </w:r>
            <w:r w:rsidRPr="00F23FE0">
              <w:t>акты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Федерации»</w:t>
            </w:r>
            <w:r w:rsidR="008D3149" w:rsidRPr="00F23FE0">
              <w:t xml:space="preserve">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08.11.2007 № 257</w:t>
            </w:r>
            <w:r w:rsidR="00506D26">
              <w:t>–</w:t>
            </w:r>
            <w:r w:rsidRPr="00F23FE0">
              <w:t>ФЗ и Техническим регламентом Таможенного союза ТР ТС 014/2011 «Безопасность автомобильных дорог»</w:t>
            </w:r>
            <w:r w:rsidR="008D3149" w:rsidRPr="00F23FE0">
              <w:t xml:space="preserve"> </w:t>
            </w:r>
            <w:r w:rsidR="00962FCE" w:rsidRPr="002276AC">
              <w:t>разработ</w:t>
            </w:r>
            <w:r w:rsidR="00962FCE">
              <w:t xml:space="preserve">ать </w:t>
            </w:r>
            <w:r w:rsidR="00962FCE" w:rsidRPr="002276AC">
              <w:t>и</w:t>
            </w:r>
            <w:r w:rsidR="00962FCE">
              <w:t xml:space="preserve"> </w:t>
            </w:r>
            <w:r w:rsidR="00962FCE" w:rsidRPr="002276AC">
              <w:t>обоснова</w:t>
            </w:r>
            <w:r w:rsidR="00962FCE">
              <w:t xml:space="preserve">ть проектные решения, </w:t>
            </w:r>
            <w:r w:rsidR="00962FCE" w:rsidRPr="008439B6">
              <w:t>обеспечивающи</w:t>
            </w:r>
            <w:r w:rsidR="00962FCE">
              <w:t xml:space="preserve">е </w:t>
            </w:r>
            <w:r w:rsidR="00962FCE" w:rsidRPr="007E506E">
              <w:t>комплекс работ, при выполнении которых осуществляется изменение параметров автомобильной дорог</w:t>
            </w:r>
            <w:r w:rsidR="00962FCE">
              <w:t xml:space="preserve">и, искусственных сооружений </w:t>
            </w:r>
            <w:r w:rsidR="00962FCE" w:rsidRPr="007E506E">
              <w:t>и</w:t>
            </w:r>
            <w:r w:rsidR="00962FCE">
              <w:t xml:space="preserve"> (или) их частей</w:t>
            </w:r>
            <w:r w:rsidR="00962FCE" w:rsidRPr="007E506E">
              <w:t xml:space="preserve">, </w:t>
            </w:r>
            <w:r w:rsidR="00962FCE" w:rsidRPr="00276CE4">
              <w:t xml:space="preserve">доведение </w:t>
            </w:r>
            <w:r w:rsidR="00643154">
              <w:t>технико-эксплуатационного</w:t>
            </w:r>
            <w:r w:rsidR="00962FCE" w:rsidRPr="00276CE4">
              <w:t xml:space="preserve"> состояния</w:t>
            </w:r>
            <w:r w:rsidR="00643154">
              <w:t xml:space="preserve"> реконструируемых сооружений</w:t>
            </w:r>
            <w:r w:rsidR="00962FCE" w:rsidRPr="00276CE4">
              <w:t xml:space="preserve"> до уровня допустимых значений и технических характеристик категории доро</w:t>
            </w:r>
            <w:r w:rsidR="00962FCE">
              <w:t xml:space="preserve">ги, и </w:t>
            </w:r>
            <w:r w:rsidR="00962FCE" w:rsidRPr="007E506E">
              <w:t>влекущ</w:t>
            </w:r>
            <w:r w:rsidR="00962FCE">
              <w:t>ие</w:t>
            </w:r>
            <w:r w:rsidR="00962FCE" w:rsidRPr="007E506E">
              <w:t xml:space="preserve"> за собой изменение границы полосы отвода автомобильной дороги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вариантов:</w:t>
            </w:r>
            <w:r w:rsidR="00420044">
              <w:t xml:space="preserve"> </w:t>
            </w:r>
            <w:r w:rsidR="00C067C1">
              <w:t xml:space="preserve">оси трассы, </w:t>
            </w:r>
            <w:r w:rsidR="008D3149" w:rsidRPr="006346CE">
              <w:t xml:space="preserve">дорожных одежд, конструктивных </w:t>
            </w:r>
            <w:r w:rsidR="00D019F3">
              <w:t>элементов</w:t>
            </w:r>
            <w:r w:rsidR="008D3149" w:rsidRPr="006346CE">
              <w:t xml:space="preserve"> </w:t>
            </w:r>
            <w:r w:rsidR="00506D26">
              <w:t>мост</w:t>
            </w:r>
            <w:r w:rsidR="00C067C1">
              <w:t>ового сооружения</w:t>
            </w:r>
            <w:r w:rsidR="008D3149" w:rsidRPr="006346CE">
              <w:t>, применяемых материалов и технологий</w:t>
            </w:r>
            <w:r w:rsidRPr="0073455F">
              <w:t>.</w:t>
            </w:r>
            <w:r w:rsidR="00BC4505" w:rsidRPr="00D019F3">
              <w:rPr>
                <w:color w:val="FF0000"/>
              </w:rPr>
              <w:t xml:space="preserve"> </w:t>
            </w:r>
            <w:r w:rsidR="00462217" w:rsidRPr="00241E6E">
              <w:t>Подходы выполнить с обеспечением плавного сопряжения с дорогой</w:t>
            </w:r>
            <w:r w:rsidR="00462217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643154">
              <w:rPr>
                <w:sz w:val="23"/>
                <w:szCs w:val="23"/>
              </w:rPr>
              <w:t>реконструкции</w:t>
            </w:r>
            <w:r w:rsidRPr="00276D6F">
              <w:t xml:space="preserve"> мостового перехода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F242B0" w:rsidRPr="000337D2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D13462">
              <w:t>5</w:t>
            </w:r>
            <w:r>
              <w:t xml:space="preserve">. </w:t>
            </w:r>
            <w:r w:rsidRPr="000337D2">
              <w:t>Выбор основных технических решений (</w:t>
            </w:r>
            <w:r w:rsidR="00C067C1">
              <w:t xml:space="preserve">плана, </w:t>
            </w:r>
            <w:r w:rsidRPr="000337D2">
              <w:t>продольного профиля, конструкции дорожной одежды</w:t>
            </w:r>
            <w:r w:rsidR="00643154">
              <w:t xml:space="preserve"> и мостового полотна</w:t>
            </w:r>
            <w:r w:rsidRPr="000337D2">
              <w:t xml:space="preserve">, конструкции </w:t>
            </w:r>
            <w:r w:rsidR="00643154">
              <w:t>пролетного строения</w:t>
            </w:r>
            <w:r w:rsidR="00C067C1">
              <w:t xml:space="preserve">, </w:t>
            </w:r>
            <w:r w:rsidR="00643154">
              <w:t>опор</w:t>
            </w:r>
            <w:r w:rsidRPr="000337D2">
              <w:t>,</w:t>
            </w:r>
            <w:r w:rsidR="00C067C1">
              <w:t xml:space="preserve"> </w:t>
            </w:r>
            <w:r w:rsidRPr="000337D2">
              <w:t xml:space="preserve">применяемых основных материалов и т.д.) </w:t>
            </w:r>
            <w:r w:rsidR="00462217" w:rsidRPr="000337D2">
              <w:t xml:space="preserve">предоставить на рассмотрение и утверждение технического совета </w:t>
            </w:r>
            <w:r w:rsidR="00712C4C" w:rsidRPr="000337D2">
              <w:t>З</w:t>
            </w:r>
            <w:r w:rsidR="00462217" w:rsidRPr="000337D2">
              <w:t>аказчика</w:t>
            </w:r>
            <w:r w:rsidRPr="000337D2">
              <w:t>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6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7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строительство временной объездной дороги и временного </w:t>
            </w:r>
            <w:r w:rsidR="00643154">
              <w:t xml:space="preserve">искусственного </w:t>
            </w:r>
            <w:r w:rsidR="00462217">
              <w:t>сооружения (при необходимости</w:t>
            </w:r>
            <w:r w:rsidR="00420044">
              <w:t xml:space="preserve"> и соответствующем обосновании</w:t>
            </w:r>
            <w:r w:rsidR="00462217">
              <w:t>)</w:t>
            </w:r>
            <w:r w:rsidR="00656F02">
              <w:t xml:space="preserve"> или ремонт существующих улиц/дорог, задействованных в схеме временного объезда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462217" w:rsidRDefault="00462217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технологические и конструктивные решения </w:t>
            </w:r>
            <w:r w:rsidR="00257D11">
              <w:t>путепровода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643154">
              <w:rPr>
                <w:sz w:val="23"/>
                <w:szCs w:val="23"/>
              </w:rPr>
              <w:t>реконструкции</w:t>
            </w:r>
            <w:r>
              <w:t xml:space="preserve"> и на период эксплуатации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lastRenderedPageBreak/>
              <w:t>переустройство коммуникаций;</w:t>
            </w:r>
          </w:p>
          <w:p w:rsidR="00643154" w:rsidRDefault="00643154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обеспечение транспортной безопасности на период реконструкции и на период эксплуатации;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организацию работ по содержанию автомобильной дороги и искусственного сооружения;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643154">
              <w:t>реконструкции объекта</w:t>
            </w:r>
            <w:r w:rsidR="00F23FE0" w:rsidRPr="00F301BE">
              <w:t xml:space="preserve"> разработать схемы организации движения на основе вариантной проработки (пропуск транспортных средств по специально устраиваемому временному объезду с устройством перехода через </w:t>
            </w:r>
            <w:r w:rsidR="00237B91">
              <w:t>железнодорожный путь</w:t>
            </w:r>
            <w:r w:rsidR="00F23FE0" w:rsidRPr="00F301BE">
              <w:t xml:space="preserve">; пропуск транспортных средств по существующей сети дорог (улично-дорожной сети))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3FE0" w:rsidRPr="00F301BE" w:rsidRDefault="00F23FE0" w:rsidP="00F23FE0">
            <w:pPr>
              <w:jc w:val="both"/>
            </w:pPr>
            <w:r>
              <w:t xml:space="preserve">    </w:t>
            </w:r>
            <w:r w:rsidRPr="00F301BE">
              <w:t xml:space="preserve">При согласовании Заказчиком варианта пропуска транспортных средств по специально устраиваемому объезду, дополнительно разработать раздел по строительству временной объездной дороги с устройством </w:t>
            </w:r>
            <w:r w:rsidR="00E30E34">
              <w:t>временного искусственного сооружения</w:t>
            </w:r>
            <w:r w:rsidRPr="00F301BE">
              <w:t>.</w:t>
            </w:r>
          </w:p>
          <w:p w:rsidR="00712C4C" w:rsidRDefault="00F23FE0" w:rsidP="00F23FE0">
            <w:pPr>
              <w:pStyle w:val="a7"/>
              <w:ind w:left="0"/>
              <w:jc w:val="both"/>
            </w:pPr>
            <w:r w:rsidRPr="00F301BE">
              <w:t xml:space="preserve">    В случае утверждения Заказчиком варианта пропуска транспортного потока по существующей сети дорог (улично-дорожной сети), включить в состав проектной документации раздел по восстановлению (ремонту) дорог, задействованных в схеме движения транспортных средств на период производства работ</w:t>
            </w:r>
            <w:r w:rsidR="00E30E34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462217">
              <w:t>8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462217">
              <w:rPr>
                <w:spacing w:val="-10"/>
              </w:rPr>
              <w:t>9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0</w:t>
            </w:r>
            <w:r w:rsidR="002C61BC">
              <w:t xml:space="preserve">.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1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2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 xml:space="preserve">» </w:t>
            </w:r>
            <w:r w:rsidRPr="00F61C5A">
              <w:t>и</w:t>
            </w:r>
            <w:r w:rsidR="00712C4C">
              <w:t xml:space="preserve"> </w:t>
            </w:r>
            <w:r w:rsidRPr="00F61C5A">
              <w:t>ГОСТ 33384</w:t>
            </w:r>
            <w:r w:rsidR="005C7B1D">
              <w:t>–</w:t>
            </w:r>
            <w:r w:rsidRPr="00F61C5A">
              <w:t xml:space="preserve">2015 </w:t>
            </w:r>
            <w:r>
              <w:t>«</w:t>
            </w:r>
            <w:r w:rsidRPr="00F61C5A">
              <w:t xml:space="preserve">Дороги автомобильные общего пользования. </w:t>
            </w:r>
            <w:r w:rsidRPr="00F61C5A">
              <w:lastRenderedPageBreak/>
              <w:t>Проектирование мостовых сооружений. Общие требования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3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4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A1328A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462217">
              <w:t>5</w:t>
            </w:r>
            <w:r>
              <w:t>. Инженерные изыскания, предпроектное инструментальное обследование сооружений</w:t>
            </w:r>
            <w:r w:rsidR="00A1328A">
              <w:t xml:space="preserve">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  <w:p w:rsidR="000C7371" w:rsidRDefault="000C7371" w:rsidP="00A1328A">
            <w:pPr>
              <w:jc w:val="both"/>
            </w:pPr>
            <w:r>
              <w:t xml:space="preserve">11.16.  В соответствии с </w:t>
            </w:r>
            <w:r>
              <w:rPr>
                <w:rStyle w:val="doccaption"/>
              </w:rPr>
              <w:t>Постановлением Правительства Российской Федерации от 05.03.2021 № 331 и Постановлением Правительства Российской Федерации от 15.09.2020 № 1431, осуществлять ф</w:t>
            </w:r>
            <w:r>
              <w:t>ормирование и ведение информационной модели объекта капитального строительства.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2</w:t>
            </w:r>
            <w:r w:rsidRPr="008E3C08">
              <w:t>. Особые требования 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</w:t>
            </w:r>
            <w:r w:rsidR="00A1328A">
              <w:t>по</w:t>
            </w:r>
            <w:r w:rsidRPr="00A1328A">
              <w:t xml:space="preserve"> </w:t>
            </w:r>
            <w:r w:rsidR="00D8132C">
              <w:rPr>
                <w:sz w:val="23"/>
                <w:szCs w:val="23"/>
              </w:rPr>
              <w:t>реконструкции</w:t>
            </w:r>
            <w:r w:rsidRPr="00A1328A">
              <w:t xml:space="preserve">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lastRenderedPageBreak/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AA7F4B" w:rsidRDefault="00AA7F4B" w:rsidP="00F242B0">
            <w:pPr>
              <w:jc w:val="both"/>
            </w:pPr>
            <w:r>
              <w:t xml:space="preserve">12.3.  </w:t>
            </w:r>
            <w:r w:rsidRPr="00E30E34">
              <w:t>Параметры путепровода и габариты приближений принять в соответствии с нормативными положениями: СП 34.13330.20</w:t>
            </w:r>
            <w:r>
              <w:t>21</w:t>
            </w:r>
            <w:r w:rsidRPr="00E30E34">
              <w:t xml:space="preserve"> «Автомобильные дороги», СП 227.1326000.201</w:t>
            </w:r>
            <w:r>
              <w:t>4</w:t>
            </w:r>
            <w:r w:rsidRPr="00E30E34">
              <w:t xml:space="preserve"> «Пересечения железнодорожных линий с линиями транспорта и инженерными сетями», СП 35.13330.2011 «Мосты и трубы», ГОСТ 33384-2015 «Дороги автомобильные общего пользования. Проектирование мостовых сооружений. Общие требования», ГОСТ 9238-2013 «Габариты железнодорожного подвижного состава и приближения строений», ГОСТ 33391-2015 «Дороги автомобильные общего пользования. Мостовые сооружения. Га</w:t>
            </w:r>
            <w:r>
              <w:t xml:space="preserve">бариты приближения конструкций», </w:t>
            </w:r>
            <w:r w:rsidRPr="00485445">
              <w:t>Г</w:t>
            </w:r>
            <w:r>
              <w:t>ОСТ 33390-2015 «Дороги автомобильные общего пользования. Мосты. Нагрузки и воздействия».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 w:rsidR="00AA7F4B">
              <w:t>4</w:t>
            </w:r>
            <w:r w:rsidR="00F242B0">
              <w:t xml:space="preserve">. </w:t>
            </w:r>
            <w:r w:rsidRPr="006346CE">
              <w:t>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</w:t>
            </w:r>
            <w:r>
              <w:t>ых</w:t>
            </w:r>
            <w:r w:rsidRPr="006346CE">
              <w:t xml:space="preserve"> одежд</w:t>
            </w:r>
            <w:r>
              <w:t xml:space="preserve"> на мостовом сооружении и на подходах</w:t>
            </w:r>
            <w:r w:rsidRPr="006346CE">
              <w:t xml:space="preserve"> с определением сметной стоимости для каждого из представленных вариантов.</w:t>
            </w:r>
            <w:r>
              <w:t xml:space="preserve"> Согласно п.12.1 </w:t>
            </w:r>
            <w:r w:rsidRPr="00200D91">
              <w:t>СП 78.13330.2012</w:t>
            </w:r>
            <w:r>
              <w:t xml:space="preserve"> «Автомобильные дороги» асфальтобетонные смеси проектировать в соответствии </w:t>
            </w:r>
            <w:r w:rsidRPr="00200D91">
              <w:t>с требованиями ГОСТ Р 58406.1</w:t>
            </w:r>
            <w:r>
              <w:t xml:space="preserve"> «</w:t>
            </w:r>
            <w:r w:rsidRPr="00200D91">
              <w:t>Дороги автомобильные общего пользования. Смеси щебеночно-мастичные асфальтобетонные и асфальтобетон. Технические условия</w:t>
            </w:r>
            <w:r>
              <w:t>»</w:t>
            </w:r>
            <w:r w:rsidRPr="00200D91">
              <w:t>, ГОСТ Р 58406.2</w:t>
            </w:r>
            <w:r>
              <w:t xml:space="preserve"> «Дороги автомобильные общего пользования. Смеси горячие асфальтобетонные и асфальтобетон Технические условия»</w:t>
            </w:r>
            <w:r w:rsidRPr="00200D91">
              <w:t>, ГОСТ Р 58401.1</w:t>
            </w:r>
            <w:r>
              <w:t xml:space="preserve"> «</w:t>
            </w:r>
            <w:r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</w:t>
            </w:r>
            <w:r>
              <w:t>я»</w:t>
            </w:r>
            <w:r w:rsidRPr="00200D91">
              <w:t>, ГОСТ Р 58401.3</w:t>
            </w:r>
            <w:r>
              <w:t xml:space="preserve"> «</w:t>
            </w:r>
            <w:r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</w:t>
            </w:r>
            <w:r>
              <w:t>»</w:t>
            </w:r>
            <w:r w:rsidRPr="00200D91">
              <w:t xml:space="preserve"> и ГОСТ Р 54401</w:t>
            </w:r>
            <w:r>
              <w:t xml:space="preserve"> «</w:t>
            </w:r>
            <w:r w:rsidRPr="00DE195F">
              <w:t>Дороги автомобильные общего пользования. Смеси литые асфальтобетонные дорожные горячие и асфальтобетон литой дорожный. Технические условия</w:t>
            </w:r>
            <w:r>
              <w:t>»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AA7F4B">
              <w:t>5</w:t>
            </w:r>
            <w:r>
              <w:t>. При наличии существующих съездов предусмотреть их восстановление.</w:t>
            </w:r>
          </w:p>
          <w:p w:rsidR="00AA7F4B" w:rsidRDefault="00AA7F4B" w:rsidP="00F242B0">
            <w:pPr>
              <w:jc w:val="both"/>
            </w:pPr>
            <w:r>
              <w:t xml:space="preserve">12.6. </w:t>
            </w:r>
            <w:r w:rsidRPr="00E30E34">
              <w:t>Провести необходимые согласования с ФГУП «Крымская железная дорога».</w:t>
            </w:r>
            <w:r>
              <w:t xml:space="preserve"> </w:t>
            </w:r>
            <w:r w:rsidRPr="00E30E34">
              <w:t xml:space="preserve">Для определения трасс кабельных коммуникаций провести инструментальную проверку и </w:t>
            </w:r>
            <w:proofErr w:type="spellStart"/>
            <w:r w:rsidRPr="00E30E34">
              <w:t>шурфление</w:t>
            </w:r>
            <w:proofErr w:type="spellEnd"/>
            <w:r w:rsidRPr="00E30E34">
              <w:t xml:space="preserve"> мест прохождения кабельных трасс совместно с причастными подразделениями железной дороги (с составлением акта, включаемого в проектную документацию)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AA7F4B">
              <w:t>7</w:t>
            </w:r>
            <w:r w:rsidR="00421F6B">
              <w:t xml:space="preserve">. </w:t>
            </w:r>
            <w:r w:rsidR="00AA7F4B">
              <w:t xml:space="preserve">Обеспечить продольный и поперечный водоотвод путепровода и подходов. Организовать сброс ливневых вод с мостового перехода посредством системы водоотвода на очистные сооружения (ЛОС). </w:t>
            </w:r>
            <w:r w:rsidR="00AA7F4B" w:rsidRPr="005F0278">
              <w:t>Запроектировать водоотвод с пролетного строения над железнодорожными путями конструкциями, исключающими пробой тока на них</w:t>
            </w:r>
            <w:r w:rsidR="005F0278">
              <w:t>.</w:t>
            </w:r>
          </w:p>
          <w:p w:rsidR="0081165F" w:rsidRDefault="0081165F" w:rsidP="00F242B0">
            <w:pPr>
              <w:jc w:val="both"/>
            </w:pPr>
            <w:r>
              <w:t>12.</w:t>
            </w:r>
            <w:r w:rsidR="00AA7F4B">
              <w:t>8</w:t>
            </w:r>
            <w:r>
              <w:t xml:space="preserve">. В границах населенного пункта запроектировать тротуары для движения пешеходов (или выполнить доведение до нормативных параметров существующих тротуаров), с установкой </w:t>
            </w:r>
            <w:r w:rsidRPr="00216BF0">
              <w:lastRenderedPageBreak/>
              <w:t>ограничивающих пешеходных ограждений</w:t>
            </w:r>
            <w:r>
              <w:t>, позволяющих упорядочить движение пешеходов.</w:t>
            </w:r>
          </w:p>
          <w:p w:rsidR="005F0278" w:rsidRDefault="005F0278" w:rsidP="00F242B0">
            <w:pPr>
              <w:jc w:val="both"/>
            </w:pPr>
            <w:r w:rsidRPr="005F0278">
              <w:t>12.</w:t>
            </w:r>
            <w:r w:rsidR="00AA7F4B">
              <w:t>9</w:t>
            </w:r>
            <w:r w:rsidRPr="005F0278">
              <w:t xml:space="preserve">. </w:t>
            </w:r>
            <w:r w:rsidR="0081165F">
              <w:t>П</w:t>
            </w:r>
            <w:r w:rsidR="00421F6B" w:rsidRPr="006346CE">
              <w:t xml:space="preserve">редусмотреть </w:t>
            </w:r>
            <w:r w:rsidR="00421F6B">
              <w:t>переустройство</w:t>
            </w:r>
            <w:r w:rsidR="00421F6B" w:rsidRPr="006346CE">
              <w:t xml:space="preserve"> </w:t>
            </w:r>
            <w:r w:rsidR="00421F6B">
              <w:t>существующего</w:t>
            </w:r>
            <w:r w:rsidR="0081165F">
              <w:t xml:space="preserve"> (при наличии)</w:t>
            </w:r>
            <w:r w:rsidR="00421F6B">
              <w:t xml:space="preserve"> и устройство недостающего </w:t>
            </w:r>
            <w:r w:rsidR="00421F6B" w:rsidRPr="006346CE">
              <w:t>наружного освещения автомобильной дороги в соответствии с положениями ГОСТ Р 52766-2007 «Дороги автомобильные общего пользования. Элементы обустройства. Общие требования». Представить варианты опор и светильников с технико-экономическим обоснованием</w:t>
            </w:r>
            <w:r w:rsidR="0081165F">
              <w:t xml:space="preserve"> на согласование технического совета Заказчика</w:t>
            </w:r>
            <w:r w:rsidR="00421F6B" w:rsidRPr="006346CE">
              <w:t>.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батарей.</w:t>
            </w:r>
            <w:r w:rsidR="00421F6B">
              <w:t xml:space="preserve"> В случае присоединения к электросети, предусмотреть энергосберегающее оборудование с применением систем автоматизации</w:t>
            </w:r>
            <w:r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AA7F4B">
              <w:t>10</w:t>
            </w:r>
            <w:r>
              <w:t xml:space="preserve">. </w:t>
            </w:r>
            <w:r w:rsidR="00AA7F4B" w:rsidRPr="005F0278">
              <w:t>Организацию движения и безопасный пропуск подвижного состава железной дороги в период производства работ согласовать с Заказчиком и ФГУП «Крымская железная дорога» на этапе рассмотрения основных проектных решений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AA7F4B">
              <w:t>11</w:t>
            </w:r>
            <w:r>
              <w:t xml:space="preserve">. Продолжительность </w:t>
            </w:r>
            <w:r w:rsidR="00D8132C">
              <w:rPr>
                <w:sz w:val="23"/>
                <w:szCs w:val="23"/>
              </w:rPr>
              <w:t>реконструкции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161F4F">
              <w:t>1</w:t>
            </w:r>
            <w:r w:rsidR="00AA7F4B">
              <w:t>2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подлежащих временному переустройству, и не относящихся к имуществу автомобильных дорог.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161F4F">
              <w:t>1</w:t>
            </w:r>
            <w:r w:rsidR="00AA7F4B">
              <w:t>3</w:t>
            </w:r>
            <w:r>
              <w:t xml:space="preserve">. </w:t>
            </w:r>
            <w:r w:rsidRPr="00BB023B">
              <w:t>Определить перечень, состав и балансодержателей объектов незаконно прикрепленных элементов и конструкций, подлежащих сносу</w:t>
            </w:r>
            <w:r>
              <w:t>.</w:t>
            </w:r>
          </w:p>
          <w:p w:rsidR="00F242B0" w:rsidRDefault="00F242B0" w:rsidP="00AA7F4B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161F4F">
              <w:t>1</w:t>
            </w:r>
            <w:r w:rsidR="00AA7F4B">
              <w:t>4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D13462" w:rsidTr="00FC34AD">
        <w:tc>
          <w:tcPr>
            <w:tcW w:w="2693" w:type="dxa"/>
          </w:tcPr>
          <w:p w:rsidR="00D13462" w:rsidRPr="008E3C08" w:rsidRDefault="00D13462" w:rsidP="008E3C08">
            <w:r w:rsidRPr="008E3C08">
              <w:lastRenderedPageBreak/>
              <w:t xml:space="preserve">13. </w:t>
            </w:r>
            <w:r w:rsidRPr="00D13462">
              <w:t>Требования к разработке документации по планировке территории.</w:t>
            </w:r>
          </w:p>
        </w:tc>
        <w:tc>
          <w:tcPr>
            <w:tcW w:w="7336" w:type="dxa"/>
            <w:shd w:val="clear" w:color="auto" w:fill="auto"/>
          </w:tcPr>
          <w:p w:rsidR="00D13462" w:rsidRPr="00FC34AD" w:rsidRDefault="00D13462" w:rsidP="00AB4F76">
            <w:pPr>
              <w:jc w:val="both"/>
            </w:pPr>
            <w:r w:rsidRPr="00FC34AD">
              <w:t>13.1. Для упорядочения существующих земельных участков, необходимых для установления границ полос отвода существующих автомобильных дорог, в соответствии с Постановлением Совета министров Республики Крым от 23.08.2018 № 401 «О порядке установления и использования полос отвода и придорожных полос автомобильных дорог регионального или межмуниципального значения Республики Крым», разработать документацию по планировке территории в составе проекта планировки и проекта межевания территории.</w:t>
            </w:r>
          </w:p>
          <w:p w:rsidR="00D13462" w:rsidRPr="00FC34AD" w:rsidRDefault="00D13462" w:rsidP="00AB4F76">
            <w:pPr>
              <w:jc w:val="both"/>
            </w:pPr>
            <w:r w:rsidRPr="00FC34AD">
              <w:t>13.1.1. Проекты планировки и межевания территории согласовать и утвердить в уполномоченных органах власти. При этом подрядная организация осуществляет все запросы в органы самоуправления самостоятельно, и предоставляет копии запросов Заказчику. Все оригиналы постановлений, выпускаемых в ходе разработки проекта планировки и проекта межевания территории органом местного самоуправления, предоставить Заказчику.</w:t>
            </w:r>
          </w:p>
          <w:p w:rsidR="00D13462" w:rsidRPr="00FC34AD" w:rsidRDefault="00D13462" w:rsidP="00AB4F76">
            <w:pPr>
              <w:jc w:val="both"/>
            </w:pPr>
            <w:r w:rsidRPr="00FC34AD">
              <w:t>13.1.2. Провести необходимые согласования для изъятия земельных участков, включая предоставление необходимых площадей для размещения временной строительной площадки и временной дороги (при наличии).</w:t>
            </w:r>
          </w:p>
          <w:p w:rsidR="00D13462" w:rsidRPr="00FC34AD" w:rsidRDefault="00D13462" w:rsidP="00AB4F76">
            <w:pPr>
              <w:jc w:val="both"/>
            </w:pPr>
            <w:r w:rsidRPr="00FC34AD">
              <w:lastRenderedPageBreak/>
              <w:t xml:space="preserve">13.1.3. При необходимости произвести оценку земельных участков и предусмотреть в смете на </w:t>
            </w:r>
            <w:r w:rsidR="00D8132C" w:rsidRPr="00FC34AD">
              <w:t>реконструкцию</w:t>
            </w:r>
            <w:r w:rsidRPr="00FC34AD">
              <w:t xml:space="preserve"> затраты для последующего изъятия земельных участков путем выкупа или компенсации для размещения строительной площадки.</w:t>
            </w:r>
          </w:p>
          <w:p w:rsidR="00D13462" w:rsidRPr="00FC34AD" w:rsidRDefault="00D13462" w:rsidP="00AB4F76">
            <w:pPr>
              <w:jc w:val="both"/>
            </w:pPr>
            <w:r w:rsidRPr="00FC34AD">
              <w:t xml:space="preserve">13.1.4.  Утвержденная документация по планировке территории и схема резервирования земельных участков (при необходимости) передаются Заказчику в редактируемом формате и в формате *. </w:t>
            </w:r>
            <w:proofErr w:type="spellStart"/>
            <w:r w:rsidRPr="00FC34AD">
              <w:t>pdf</w:t>
            </w:r>
            <w:proofErr w:type="spellEnd"/>
            <w:r w:rsidRPr="00FC34AD">
              <w:t xml:space="preserve"> для направления в органы регистрации прав и кадастрового учета (при необходимости).</w:t>
            </w:r>
          </w:p>
          <w:p w:rsidR="00D13462" w:rsidRPr="00FC34AD" w:rsidRDefault="00D13462" w:rsidP="00AB4F76">
            <w:pPr>
              <w:jc w:val="both"/>
            </w:pPr>
            <w:r w:rsidRPr="00FC34AD">
              <w:t>13.2.  Состав и содержание работ.</w:t>
            </w:r>
          </w:p>
          <w:p w:rsidR="00D13462" w:rsidRPr="00FC34AD" w:rsidRDefault="00D13462" w:rsidP="00AB4F76">
            <w:pPr>
              <w:jc w:val="both"/>
            </w:pPr>
            <w:r w:rsidRPr="00FC34AD">
              <w:t>13.2.1. Провести подготовительные работы по сбору информации о земельном участке: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получить сведения о смежных землепользователях;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получить сведения о наличии и расположении близлежащих пунктах ОМС и их координаты;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получить сведения из Единого государственного реестра недвижимости (далее – ЕГРН);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получить информацию по красным линиям и охранным зонам в границах планируемого размещения земельного участка;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выполнить подбор планово-картографического материала;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выполнить рекогносцировку местности с целью определения достоверности собранной информации.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13.2.2. Провести полевое обследование земельного участка.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13.2.3. Определить местоположение границ земельного участка (межевание) с использованием инструментальных методов;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13.2.4. Уведомить лица, права которых могут быть затронуты при проведении кадастровых работ.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13.2.5. Согласовать местоположение границ земельного участка со смежными землепользователями и всеми заинтересованными лицами.</w:t>
            </w:r>
            <w:r w:rsidRPr="00FC34AD">
              <w:rPr>
                <w:rFonts w:eastAsiaTheme="minorEastAsia"/>
                <w:lang w:eastAsia="ru-RU"/>
              </w:rPr>
              <w:br/>
              <w:t>13.2.6.На основе имеющихся документов, отразить на межевом плане границы частей земельного участка, ограниченные в использовании и обременённые сервитутами.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13.2.7. Вычислить площади земельных участков и, ограниченных в использовании, частей земельного участка.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13.2.8. По результатам кадастровых работ подготовить межевой</w:t>
            </w:r>
            <w:r w:rsidRPr="00FC34AD">
              <w:rPr>
                <w:color w:val="000000"/>
                <w:shd w:val="clear" w:color="auto" w:fill="FFFFFF"/>
              </w:rPr>
              <w:t xml:space="preserve"> </w:t>
            </w:r>
            <w:r w:rsidRPr="00FC34AD">
              <w:rPr>
                <w:rFonts w:eastAsiaTheme="minorEastAsia"/>
                <w:lang w:eastAsia="ru-RU"/>
              </w:rPr>
              <w:t>план. Межевой план составить на основе сведений из ЕГРН о земельном участке с использованием материалов подготовительных работ и предоставить на электронном носителе в 2-х экземплярах (один экземпляр направляется в орган кадастрового учета вместе с соответствующим заявлением, второй экземпляр передается Заказчику). Установленная система координат, принятая для ведения государственного кадастра недвижимости в Республике Крым, СК-63.</w:t>
            </w:r>
          </w:p>
          <w:p w:rsidR="00D13462" w:rsidRPr="00FC34AD" w:rsidRDefault="00D13462" w:rsidP="00AB4F76">
            <w:pPr>
              <w:pStyle w:val="Bodytext20"/>
              <w:shd w:val="clear" w:color="auto" w:fill="auto"/>
              <w:tabs>
                <w:tab w:val="left" w:pos="586"/>
              </w:tabs>
              <w:ind w:firstLine="0"/>
              <w:jc w:val="both"/>
              <w:rPr>
                <w:rFonts w:eastAsiaTheme="minorEastAsia"/>
                <w:lang w:eastAsia="ru-RU"/>
              </w:rPr>
            </w:pPr>
            <w:r w:rsidRPr="00FC34AD">
              <w:rPr>
                <w:rFonts w:eastAsiaTheme="minorEastAsia"/>
                <w:lang w:eastAsia="ru-RU"/>
              </w:rPr>
              <w:t>13.2.9. Результатом работ являются документы, согласованные в установленном законом порядке: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межевой план земельного участка в электронном виде;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t>заявление о постановке земельного участка на государственный кадастровый учёт;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680" w:hanging="170"/>
              <w:jc w:val="both"/>
            </w:pPr>
            <w:r w:rsidRPr="00FC34AD">
              <w:rPr>
                <w:color w:val="000000"/>
              </w:rPr>
              <w:t>в</w:t>
            </w:r>
            <w:r w:rsidRPr="00FC34AD">
              <w:t>ыписка из Единого государственного реестра недвижимости об основных характеристиках и зарегистрированных правах на объект недвижимости.</w:t>
            </w:r>
          </w:p>
          <w:p w:rsidR="00D13462" w:rsidRPr="00FC34AD" w:rsidRDefault="00D13462" w:rsidP="00AB4F76">
            <w:pPr>
              <w:jc w:val="both"/>
            </w:pPr>
            <w:r w:rsidRPr="00FC34AD">
              <w:t xml:space="preserve">13.3. Разработанные документы и результаты работ должны соответствовать действующему законодательству и нормативным </w:t>
            </w:r>
            <w:r w:rsidRPr="00FC34AD">
              <w:lastRenderedPageBreak/>
              <w:t>правовым актам по землеустройству, в том числе: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Земельный кодекс Российской Федерации от 25.10.2001 №136</w:t>
            </w:r>
            <w:r w:rsidR="006D1C1E" w:rsidRPr="00FC34AD">
              <w:t>–</w:t>
            </w:r>
            <w:r w:rsidRPr="00FC34AD">
              <w:t>Ф3;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Градостроительный кодекс Российской Федерации от 29.12.2004 № 190</w:t>
            </w:r>
            <w:r w:rsidR="006D1C1E" w:rsidRPr="00FC34AD">
              <w:t>–</w:t>
            </w:r>
            <w:r w:rsidRPr="00FC34AD">
              <w:t>ФЗ;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Гражданский кодекс Российской Федерации 30.11.1994 № 51</w:t>
            </w:r>
            <w:r w:rsidR="006D1C1E" w:rsidRPr="00FC34AD">
              <w:t>–</w:t>
            </w:r>
            <w:r w:rsidRPr="00FC34AD">
              <w:t xml:space="preserve"> ФЗ;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Лесной кодекс Российской Федерации от 04.12.2006 № 200</w:t>
            </w:r>
            <w:r w:rsidR="006D1C1E" w:rsidRPr="00FC34AD">
              <w:t>–</w:t>
            </w:r>
            <w:r w:rsidRPr="00FC34AD">
              <w:t xml:space="preserve"> ФЗ;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Федеральный закон от 24.07.2007 № 221</w:t>
            </w:r>
            <w:r w:rsidR="006D1C1E" w:rsidRPr="00FC34AD">
              <w:t>–</w:t>
            </w:r>
            <w:r w:rsidRPr="00FC34AD">
              <w:t>ФЗ «О кадастровой деятельности»;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Федеральный закон от 13.07.2015 № 218</w:t>
            </w:r>
            <w:r w:rsidR="006D1C1E" w:rsidRPr="00FC34AD">
              <w:t>–</w:t>
            </w:r>
            <w:r w:rsidRPr="00FC34AD">
              <w:t>ФЗ «О государственной регистрации недвижимости»;</w:t>
            </w:r>
          </w:p>
          <w:p w:rsidR="00D13462" w:rsidRPr="00FC34AD" w:rsidRDefault="00D13462" w:rsidP="00D13462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Федеральный конституционный закон от 21.03.2014 № 6</w:t>
            </w:r>
            <w:r w:rsidR="006D1C1E" w:rsidRPr="00FC34AD">
              <w:t>–</w:t>
            </w:r>
            <w:r w:rsidRPr="00FC34AD">
              <w:t xml:space="preserve">ФКЗ «О принятии в Российскую Федерацию Республики Крым и образовании в составе Российской Федерации новых субъектов </w:t>
            </w:r>
            <w:r w:rsidR="006D1C1E" w:rsidRPr="00FC34AD">
              <w:t>–</w:t>
            </w:r>
            <w:r w:rsidRPr="00FC34AD">
              <w:t xml:space="preserve"> Республики Крым и города федерального значения Севастополя»;</w:t>
            </w:r>
          </w:p>
          <w:p w:rsidR="00D13462" w:rsidRPr="00FC34AD" w:rsidRDefault="00D13462" w:rsidP="006D1C1E">
            <w:pPr>
              <w:pStyle w:val="a7"/>
              <w:numPr>
                <w:ilvl w:val="0"/>
                <w:numId w:val="13"/>
              </w:numPr>
              <w:ind w:left="227" w:hanging="227"/>
              <w:jc w:val="both"/>
            </w:pPr>
            <w:r w:rsidRPr="00FC34AD">
              <w:t>Закон Республики Крым от 31 июля 2014 года № 38</w:t>
            </w:r>
            <w:r w:rsidR="006D1C1E" w:rsidRPr="00FC34AD">
              <w:t>–</w:t>
            </w:r>
            <w:r w:rsidRPr="00FC34AD">
              <w:t>3PK «Об особенностях регулирования имущественных и земельных отношений на территории Республики Крым».</w:t>
            </w:r>
          </w:p>
        </w:tc>
      </w:tr>
      <w:tr w:rsidR="00D35C1D" w:rsidTr="00D13462">
        <w:tc>
          <w:tcPr>
            <w:tcW w:w="2693" w:type="dxa"/>
          </w:tcPr>
          <w:p w:rsidR="00D35C1D" w:rsidRPr="008E3C08" w:rsidRDefault="00D35C1D" w:rsidP="00D35C1D">
            <w:r>
              <w:lastRenderedPageBreak/>
              <w:t xml:space="preserve">14. </w:t>
            </w:r>
            <w:r w:rsidRPr="008E3C08">
              <w:t>Обеспечение транспортной безопасности.</w:t>
            </w:r>
          </w:p>
        </w:tc>
        <w:tc>
          <w:tcPr>
            <w:tcW w:w="7336" w:type="dxa"/>
          </w:tcPr>
          <w:p w:rsidR="002F75C7" w:rsidRDefault="002F75C7" w:rsidP="002F75C7">
            <w:pPr>
              <w:jc w:val="both"/>
            </w:pPr>
            <w:r>
              <w:t>14.1.  На стадии проектирования предусмотреть мероприятия по обеспечению транспортной безопасности на период реконструкции путепровода и в период последующей эксплуатации, в соответствии с Федеральным законом от 09.02.2007 № 16–ФЗ «О транспортной безопасности», постановлением Правительства Российской Федерации от 30.12.2020 № 2418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строительства» и постановлением Правительства Российской Федерации от 21.12.2020 № 2201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хозяйства».</w:t>
            </w:r>
          </w:p>
          <w:p w:rsidR="002F75C7" w:rsidRDefault="002F75C7" w:rsidP="002F75C7">
            <w:pPr>
              <w:jc w:val="both"/>
            </w:pPr>
            <w:r>
              <w:t>14.2. При подготовке материалов по обеспечению транспортной безопасности на период реконструкции необходимо разработать план обеспечения транспортной безопасности реконструируемого объекта транспортной инфраструктуры (ОТИ) в 2-ух экземплярах на бумажном носителе и 1-ом экземпляре на электронном носителе. В данном плане, в обязательном порядке, необходимо отразить мероприятия по организации на реконструируемом объекте транспортной инфраструктуры досмотра в целях обеспечения транспортной безопасности, пропускного и внутриобъектового режимов, обеспечивающих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загрязнения опасными химическими, радиоактивными или биологическими агентами, угрожающими жизни или здоровью персонала и других лиц.</w:t>
            </w:r>
          </w:p>
          <w:p w:rsidR="002F75C7" w:rsidRDefault="002F75C7" w:rsidP="002F75C7">
            <w:pPr>
              <w:jc w:val="both"/>
            </w:pPr>
            <w:r>
              <w:t xml:space="preserve">   На стадии проектирования необходимо предусмотреть финансирование на реализацию данных мероприятий.</w:t>
            </w:r>
          </w:p>
          <w:p w:rsidR="00D35C1D" w:rsidRDefault="002F75C7" w:rsidP="002F75C7">
            <w:pPr>
              <w:jc w:val="both"/>
            </w:pPr>
            <w:r>
              <w:t>14.3. Мероприятия по обеспечению транспортной безопасности на период реконструкции и дальнейшей эксплуатации ОТИ, должны в полной мере соответствовать требованиям действующего законодательства Российской Федерации.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D35C1D">
            <w:r w:rsidRPr="008E3C08">
              <w:lastRenderedPageBreak/>
              <w:t>1</w:t>
            </w:r>
            <w:r w:rsidR="00D35C1D">
              <w:t>5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15.1.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15.2.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 xml:space="preserve">15.3.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 xml:space="preserve">15.4.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5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выкуп земель и недвижимого имущества (включая убытки и упущенную выгоду) у собственников, возмещение убытков землевладельцам, землепользователям, арендаторам за отвод земель в постоянное или временное пользование</w:t>
            </w:r>
            <w:r w:rsidR="00871908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lastRenderedPageBreak/>
              <w:t>компенсации при обнаружении объектов историко-культурного наследия (при необходимости);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нагрузкой, диагностика искусственных сооружений 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а также дорог и улиц, задействованных в схеме движения транспорта для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проведение работ по приемочной диагностике автомобильной дороги и искусственных сооружений после </w:t>
            </w:r>
            <w:r w:rsidR="00D8132C">
              <w:rPr>
                <w:sz w:val="23"/>
                <w:szCs w:val="23"/>
              </w:rPr>
              <w:t>реконструкции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t>1</w:t>
            </w:r>
            <w:r w:rsidR="00D35C1D">
              <w:t>5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D35C1D">
              <w:rPr>
                <w:color w:val="000000"/>
                <w:lang w:bidi="ru-RU"/>
              </w:rPr>
              <w:t>5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D35C1D">
              <w:t>6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D35C1D">
              <w:t>6</w:t>
            </w:r>
            <w:r w:rsidRPr="00F23FE0">
              <w:t>.1. Знаки, позволяющие вынести на местность ось автомобильной дороги, и репера высотных отметок сдать Заказчику по акту до окончания проектирования.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 xml:space="preserve">.2. Проект планировки и межевания территории передать Заказчику в переплетенном виде (4 экз.) и на электронном носителе (1 экз.).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1D2A5C">
              <w:t xml:space="preserve">, </w:t>
            </w:r>
            <w:r w:rsidRPr="00D9372D">
              <w:t>*.</w:t>
            </w:r>
            <w:proofErr w:type="spellStart"/>
            <w:r w:rsidRPr="00D9372D">
              <w:t>dwg</w:t>
            </w:r>
            <w:proofErr w:type="spellEnd"/>
            <w:r w:rsidRPr="001D2A5C">
              <w:t xml:space="preserve">) и в формате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>
              <w:t xml:space="preserve">. Названия файлов и папок электронного носителя должны </w:t>
            </w:r>
            <w:r w:rsidRPr="00D9372D">
              <w:t>совпадать с наименованием документ</w:t>
            </w:r>
            <w:r>
              <w:t xml:space="preserve">ов на бумажном носителе </w:t>
            </w:r>
            <w:r w:rsidRPr="00D9372D">
              <w:t>и располагатьсяв той же последовательно</w:t>
            </w:r>
            <w:r>
              <w:t>сти, как и на бумажном носителе.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 xml:space="preserve">.3.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 w:rsidR="00943329">
              <w:t xml:space="preserve"> и предпроектно</w:t>
            </w:r>
            <w:r w:rsidR="00622A1B">
              <w:t>го</w:t>
            </w:r>
            <w:r w:rsidR="00943329">
              <w:t xml:space="preserve"> обследовани</w:t>
            </w:r>
            <w:r w:rsidR="00622A1B">
              <w:t>я</w:t>
            </w:r>
            <w:r w:rsidR="00943329">
              <w:t xml:space="preserve"> 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>.4.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 xml:space="preserve">.5.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 xml:space="preserve">.6.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lastRenderedPageBreak/>
              <w:t>1</w:t>
            </w:r>
            <w:r w:rsidR="00D35C1D">
              <w:t>6</w:t>
            </w:r>
            <w:r>
              <w:t>.</w:t>
            </w:r>
            <w:r w:rsidR="000F039B">
              <w:t>7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D35C1D">
              <w:t>6</w:t>
            </w:r>
            <w:r>
              <w:t>.</w:t>
            </w:r>
            <w:r w:rsidR="000F039B">
              <w:t>8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CF54D4">
            <w:pPr>
              <w:jc w:val="both"/>
            </w:pPr>
            <w:r>
              <w:t>1</w:t>
            </w:r>
            <w:r w:rsidR="00D35C1D">
              <w:t>6</w:t>
            </w:r>
            <w:r>
              <w:t>.</w:t>
            </w:r>
            <w:r w:rsidR="000F039B">
              <w:t>9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D35C1D">
            <w:r w:rsidRPr="008E3C08">
              <w:lastRenderedPageBreak/>
              <w:t>1</w:t>
            </w:r>
            <w:r w:rsidR="00D35C1D">
              <w:t>7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FC34AD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D35C1D">
            <w:r w:rsidRPr="008E3C08">
              <w:t>1</w:t>
            </w:r>
            <w:r w:rsidR="00D35C1D">
              <w:t>8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>
      <w:bookmarkStart w:id="0" w:name="_GoBack"/>
      <w:bookmarkEnd w:id="0"/>
    </w:p>
    <w:sectPr w:rsidR="00D35C1D" w:rsidSect="00FB6576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 w15:restartNumberingAfterBreak="0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C7371"/>
    <w:rsid w:val="000D7058"/>
    <w:rsid w:val="000E7B62"/>
    <w:rsid w:val="000E7D00"/>
    <w:rsid w:val="000E7E28"/>
    <w:rsid w:val="000E7ED7"/>
    <w:rsid w:val="000F039B"/>
    <w:rsid w:val="000F6409"/>
    <w:rsid w:val="00116B94"/>
    <w:rsid w:val="00124956"/>
    <w:rsid w:val="00132696"/>
    <w:rsid w:val="00132D20"/>
    <w:rsid w:val="00135168"/>
    <w:rsid w:val="00161F4F"/>
    <w:rsid w:val="00164068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C65"/>
    <w:rsid w:val="001D0ED7"/>
    <w:rsid w:val="001D1428"/>
    <w:rsid w:val="001D2A5C"/>
    <w:rsid w:val="001D50E7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37B91"/>
    <w:rsid w:val="00241E6E"/>
    <w:rsid w:val="00242385"/>
    <w:rsid w:val="00251453"/>
    <w:rsid w:val="00253767"/>
    <w:rsid w:val="00257D11"/>
    <w:rsid w:val="00262139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C61BC"/>
    <w:rsid w:val="002D3B16"/>
    <w:rsid w:val="002E6745"/>
    <w:rsid w:val="002F75C7"/>
    <w:rsid w:val="00300539"/>
    <w:rsid w:val="00317FBF"/>
    <w:rsid w:val="00331EA7"/>
    <w:rsid w:val="00333EB5"/>
    <w:rsid w:val="00336AE9"/>
    <w:rsid w:val="00340A4F"/>
    <w:rsid w:val="003503DB"/>
    <w:rsid w:val="003532E0"/>
    <w:rsid w:val="003733FE"/>
    <w:rsid w:val="0037504E"/>
    <w:rsid w:val="00376A19"/>
    <w:rsid w:val="003816AE"/>
    <w:rsid w:val="00382139"/>
    <w:rsid w:val="00384976"/>
    <w:rsid w:val="00385156"/>
    <w:rsid w:val="003853AB"/>
    <w:rsid w:val="003938CF"/>
    <w:rsid w:val="003A1E40"/>
    <w:rsid w:val="003A61CB"/>
    <w:rsid w:val="003B7F8F"/>
    <w:rsid w:val="003C21F4"/>
    <w:rsid w:val="003C4E1D"/>
    <w:rsid w:val="003D33D2"/>
    <w:rsid w:val="003D6CDB"/>
    <w:rsid w:val="003E73CD"/>
    <w:rsid w:val="003F4296"/>
    <w:rsid w:val="003F4EE3"/>
    <w:rsid w:val="003F5E3B"/>
    <w:rsid w:val="003F7BEA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36ECB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F01"/>
    <w:rsid w:val="005112D5"/>
    <w:rsid w:val="00512A13"/>
    <w:rsid w:val="00517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F0278"/>
    <w:rsid w:val="005F0D06"/>
    <w:rsid w:val="005F3C5C"/>
    <w:rsid w:val="006011A7"/>
    <w:rsid w:val="00621960"/>
    <w:rsid w:val="00622A1B"/>
    <w:rsid w:val="00633194"/>
    <w:rsid w:val="00634A41"/>
    <w:rsid w:val="00643154"/>
    <w:rsid w:val="00650BBA"/>
    <w:rsid w:val="00650E69"/>
    <w:rsid w:val="00655588"/>
    <w:rsid w:val="00656A3C"/>
    <w:rsid w:val="00656F02"/>
    <w:rsid w:val="00667911"/>
    <w:rsid w:val="00670F9B"/>
    <w:rsid w:val="00683A10"/>
    <w:rsid w:val="00687BBB"/>
    <w:rsid w:val="006905E1"/>
    <w:rsid w:val="006976B9"/>
    <w:rsid w:val="006A4B32"/>
    <w:rsid w:val="006A735C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DAE"/>
    <w:rsid w:val="006F4EC2"/>
    <w:rsid w:val="00705C04"/>
    <w:rsid w:val="00706744"/>
    <w:rsid w:val="00712C4C"/>
    <w:rsid w:val="00721C56"/>
    <w:rsid w:val="00725D29"/>
    <w:rsid w:val="0073455F"/>
    <w:rsid w:val="00736360"/>
    <w:rsid w:val="00740E10"/>
    <w:rsid w:val="00741450"/>
    <w:rsid w:val="00742D84"/>
    <w:rsid w:val="007456BC"/>
    <w:rsid w:val="00753FB2"/>
    <w:rsid w:val="007579D6"/>
    <w:rsid w:val="00764E98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477E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90D12"/>
    <w:rsid w:val="00894C37"/>
    <w:rsid w:val="008A002D"/>
    <w:rsid w:val="008A4F84"/>
    <w:rsid w:val="008C0092"/>
    <w:rsid w:val="008D3149"/>
    <w:rsid w:val="008E3C08"/>
    <w:rsid w:val="008E47D5"/>
    <w:rsid w:val="008E6457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2BF0"/>
    <w:rsid w:val="00943329"/>
    <w:rsid w:val="0094484A"/>
    <w:rsid w:val="00962FCE"/>
    <w:rsid w:val="009668FB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58FB"/>
    <w:rsid w:val="00A809D7"/>
    <w:rsid w:val="00A84E55"/>
    <w:rsid w:val="00A86E09"/>
    <w:rsid w:val="00A91406"/>
    <w:rsid w:val="00A944D4"/>
    <w:rsid w:val="00A94D40"/>
    <w:rsid w:val="00AA300A"/>
    <w:rsid w:val="00AA361B"/>
    <w:rsid w:val="00AA501B"/>
    <w:rsid w:val="00AA53BE"/>
    <w:rsid w:val="00AA7F4B"/>
    <w:rsid w:val="00AB4F76"/>
    <w:rsid w:val="00AB69E2"/>
    <w:rsid w:val="00AB6B48"/>
    <w:rsid w:val="00AD050E"/>
    <w:rsid w:val="00AD144D"/>
    <w:rsid w:val="00AD6688"/>
    <w:rsid w:val="00B00AD4"/>
    <w:rsid w:val="00B0146D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99C"/>
    <w:rsid w:val="00B56938"/>
    <w:rsid w:val="00B57FE9"/>
    <w:rsid w:val="00B66DBF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3E3F"/>
    <w:rsid w:val="00BD61BA"/>
    <w:rsid w:val="00BD7671"/>
    <w:rsid w:val="00BF3223"/>
    <w:rsid w:val="00BF4A1D"/>
    <w:rsid w:val="00C057A0"/>
    <w:rsid w:val="00C062F0"/>
    <w:rsid w:val="00C067C1"/>
    <w:rsid w:val="00C10188"/>
    <w:rsid w:val="00C13B6F"/>
    <w:rsid w:val="00C15FE5"/>
    <w:rsid w:val="00C22E6A"/>
    <w:rsid w:val="00C274BC"/>
    <w:rsid w:val="00C31B91"/>
    <w:rsid w:val="00C40AE7"/>
    <w:rsid w:val="00C446A8"/>
    <w:rsid w:val="00C5130A"/>
    <w:rsid w:val="00C56CD2"/>
    <w:rsid w:val="00C56F3C"/>
    <w:rsid w:val="00C62004"/>
    <w:rsid w:val="00C6681C"/>
    <w:rsid w:val="00C71321"/>
    <w:rsid w:val="00C72151"/>
    <w:rsid w:val="00C7236C"/>
    <w:rsid w:val="00C7720F"/>
    <w:rsid w:val="00C77523"/>
    <w:rsid w:val="00C77787"/>
    <w:rsid w:val="00C83DEC"/>
    <w:rsid w:val="00C87BA3"/>
    <w:rsid w:val="00C9266D"/>
    <w:rsid w:val="00CA397F"/>
    <w:rsid w:val="00CA5468"/>
    <w:rsid w:val="00CB1BBE"/>
    <w:rsid w:val="00CD79CD"/>
    <w:rsid w:val="00CE2B87"/>
    <w:rsid w:val="00CE5891"/>
    <w:rsid w:val="00CF068A"/>
    <w:rsid w:val="00CF54D4"/>
    <w:rsid w:val="00D019F3"/>
    <w:rsid w:val="00D12049"/>
    <w:rsid w:val="00D13462"/>
    <w:rsid w:val="00D15B84"/>
    <w:rsid w:val="00D27F61"/>
    <w:rsid w:val="00D34E6A"/>
    <w:rsid w:val="00D35C1D"/>
    <w:rsid w:val="00D36FDB"/>
    <w:rsid w:val="00D41757"/>
    <w:rsid w:val="00D44D09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417D"/>
    <w:rsid w:val="00DB7C94"/>
    <w:rsid w:val="00DC0941"/>
    <w:rsid w:val="00DC5FFC"/>
    <w:rsid w:val="00DD0181"/>
    <w:rsid w:val="00DD22E2"/>
    <w:rsid w:val="00DD43B9"/>
    <w:rsid w:val="00DE2543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61696"/>
    <w:rsid w:val="00E62566"/>
    <w:rsid w:val="00E7347B"/>
    <w:rsid w:val="00E76B03"/>
    <w:rsid w:val="00E805ED"/>
    <w:rsid w:val="00E90A31"/>
    <w:rsid w:val="00E92211"/>
    <w:rsid w:val="00E93A64"/>
    <w:rsid w:val="00E95969"/>
    <w:rsid w:val="00EA1A47"/>
    <w:rsid w:val="00EB5C11"/>
    <w:rsid w:val="00EC613F"/>
    <w:rsid w:val="00ED7473"/>
    <w:rsid w:val="00EE05DA"/>
    <w:rsid w:val="00EE647A"/>
    <w:rsid w:val="00EF35D1"/>
    <w:rsid w:val="00EF4974"/>
    <w:rsid w:val="00EF73BA"/>
    <w:rsid w:val="00F0246C"/>
    <w:rsid w:val="00F10A34"/>
    <w:rsid w:val="00F15631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90BF4"/>
    <w:rsid w:val="00FB029A"/>
    <w:rsid w:val="00FB268D"/>
    <w:rsid w:val="00FB6576"/>
    <w:rsid w:val="00FC34AD"/>
    <w:rsid w:val="00FC61D1"/>
    <w:rsid w:val="00FC7EF8"/>
    <w:rsid w:val="00FD08FC"/>
    <w:rsid w:val="00FD45A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2C4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  <w:style w:type="character" w:customStyle="1" w:styleId="doccaption">
    <w:name w:val="doccaption"/>
    <w:basedOn w:val="a0"/>
    <w:rsid w:val="008E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6120-AD9B-4864-BE3D-4D2AF2D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Александр Голубенков</cp:lastModifiedBy>
  <cp:revision>3</cp:revision>
  <cp:lastPrinted>2023-05-04T12:03:00Z</cp:lastPrinted>
  <dcterms:created xsi:type="dcterms:W3CDTF">2023-05-03T11:14:00Z</dcterms:created>
  <dcterms:modified xsi:type="dcterms:W3CDTF">2023-05-04T12:03:00Z</dcterms:modified>
</cp:coreProperties>
</file>