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472850" w:rsidRPr="00472850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(Владиславовка, км 310+500 - км 313+300)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2689"/>
      </w:tblGrid>
      <w:tr w:rsidR="00472850" w:rsidRPr="00A35723" w:rsidTr="00472850">
        <w:trPr>
          <w:trHeight w:val="508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472850" w:rsidRPr="00A35723" w:rsidTr="00472850">
        <w:trPr>
          <w:trHeight w:val="544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>Новое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 xml:space="preserve">Календарное реле времени </w:t>
            </w:r>
            <w:r w:rsidRPr="00A35723">
              <w:rPr>
                <w:sz w:val="26"/>
                <w:szCs w:val="26"/>
              </w:rPr>
              <w:t>PLX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>Воздушное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Уровень ответственности (ГК РК ст.6 п.3 )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>Нормальный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Срок эксплуатации,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лет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A35723">
              <w:rPr>
                <w:rFonts w:eastAsia="Calibri"/>
                <w:sz w:val="26"/>
                <w:szCs w:val="26"/>
              </w:rPr>
              <w:t xml:space="preserve">Металлические 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93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</w:rPr>
              <w:t>Светодиодные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Количество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186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0,4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Количество трансформаторных подстанций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Наличие подводящих линий ВЛ 6(10)кВ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Протяженность стационарного электрического освещения (по дороге)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2,8</w:t>
            </w:r>
          </w:p>
        </w:tc>
      </w:tr>
      <w:tr w:rsidR="00472850" w:rsidRPr="00A35723" w:rsidTr="00472850">
        <w:trPr>
          <w:trHeight w:val="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Потребная мощность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b/>
                <w:sz w:val="26"/>
                <w:szCs w:val="26"/>
                <w:lang w:eastAsia="en-US"/>
              </w:rPr>
              <w:t>15,27</w:t>
            </w:r>
          </w:p>
        </w:tc>
      </w:tr>
      <w:tr w:rsidR="00472850" w:rsidRPr="00A35723" w:rsidTr="00472850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Годовое потребление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723">
              <w:rPr>
                <w:rFonts w:eastAsia="Calibri"/>
                <w:sz w:val="26"/>
                <w:szCs w:val="26"/>
                <w:lang w:eastAsia="en-US"/>
              </w:rPr>
              <w:t>кВт* год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50" w:rsidRPr="00A35723" w:rsidRDefault="00472850" w:rsidP="00793C0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5723">
              <w:rPr>
                <w:b/>
                <w:sz w:val="26"/>
                <w:szCs w:val="26"/>
                <w:lang w:eastAsia="en-US"/>
              </w:rPr>
              <w:t>66882,6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233DE1" w:rsidRDefault="00233DE1" w:rsidP="00CF04C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Продолжительность строительства – 7 месяцев.</w:t>
      </w:r>
    </w:p>
    <w:bookmarkEnd w:id="0"/>
    <w:p w:rsidR="00233DE1" w:rsidRDefault="00233DE1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472850" w:rsidRPr="00472850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(Владиславовка, км 310+500 - км 313+300)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91581A">
        <w:rPr>
          <w:sz w:val="28"/>
          <w:szCs w:val="28"/>
        </w:rPr>
        <w:t>30.12.2019</w:t>
      </w:r>
      <w:r w:rsidR="00697CB0" w:rsidRPr="007E43F1">
        <w:rPr>
          <w:sz w:val="28"/>
          <w:szCs w:val="28"/>
        </w:rPr>
        <w:t xml:space="preserve"> № </w:t>
      </w:r>
      <w:r w:rsidR="004640D3" w:rsidRPr="004640D3">
        <w:rPr>
          <w:sz w:val="28"/>
          <w:szCs w:val="28"/>
        </w:rPr>
        <w:t>91-1-1-3-</w:t>
      </w:r>
      <w:r w:rsidR="0091581A">
        <w:rPr>
          <w:sz w:val="28"/>
          <w:szCs w:val="28"/>
        </w:rPr>
        <w:t>000057-2020 и положительное заключение о проверке достоверности определения сметной стоим</w:t>
      </w:r>
      <w:r w:rsidR="00CE77A2">
        <w:rPr>
          <w:sz w:val="28"/>
          <w:szCs w:val="28"/>
        </w:rPr>
        <w:t>ости строительства от 14.01.2019</w:t>
      </w:r>
      <w:r w:rsidR="0091581A">
        <w:rPr>
          <w:sz w:val="28"/>
          <w:szCs w:val="28"/>
        </w:rPr>
        <w:t xml:space="preserve"> №91-1-1669-19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472850" w:rsidRPr="00472850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(Владиславовка, км 310+500 - км 313+300)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472850" w:rsidRPr="00472850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(Владиславовка, км 310+500 - км 313+300)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472850" w:rsidRPr="00472850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35А-001(Е-97) Граница с Украиной - Джанкой - Феодосия - Керчь (Владиславовка, км 310+500 - км 313+300)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0C" w:rsidRDefault="0094590C" w:rsidP="00AC2735">
      <w:r>
        <w:separator/>
      </w:r>
    </w:p>
  </w:endnote>
  <w:endnote w:type="continuationSeparator" w:id="0">
    <w:p w:rsidR="0094590C" w:rsidRDefault="0094590C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0C" w:rsidRDefault="0094590C" w:rsidP="00AC2735">
      <w:r>
        <w:separator/>
      </w:r>
    </w:p>
  </w:footnote>
  <w:footnote w:type="continuationSeparator" w:id="0">
    <w:p w:rsidR="0094590C" w:rsidRDefault="0094590C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E4EF5"/>
    <w:rsid w:val="000F4F89"/>
    <w:rsid w:val="00111161"/>
    <w:rsid w:val="00127FD7"/>
    <w:rsid w:val="00162A25"/>
    <w:rsid w:val="00181B2E"/>
    <w:rsid w:val="00187406"/>
    <w:rsid w:val="001F0406"/>
    <w:rsid w:val="001F4EC9"/>
    <w:rsid w:val="00221283"/>
    <w:rsid w:val="00233DE1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21032"/>
    <w:rsid w:val="007362DC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1581A"/>
    <w:rsid w:val="0094590C"/>
    <w:rsid w:val="009A58DD"/>
    <w:rsid w:val="009D3F3E"/>
    <w:rsid w:val="009E59CA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85B04"/>
    <w:rsid w:val="00C87C11"/>
    <w:rsid w:val="00CB4119"/>
    <w:rsid w:val="00CD7647"/>
    <w:rsid w:val="00CE61DA"/>
    <w:rsid w:val="00CE77A2"/>
    <w:rsid w:val="00CF04C9"/>
    <w:rsid w:val="00CF7540"/>
    <w:rsid w:val="00CF774A"/>
    <w:rsid w:val="00D2777C"/>
    <w:rsid w:val="00D73E1D"/>
    <w:rsid w:val="00D92A0C"/>
    <w:rsid w:val="00D94AF3"/>
    <w:rsid w:val="00DB1AC6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4EA5-F348-4FAC-ABE1-06CF89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45</cp:revision>
  <cp:lastPrinted>2020-10-20T14:04:00Z</cp:lastPrinted>
  <dcterms:created xsi:type="dcterms:W3CDTF">2019-02-12T07:29:00Z</dcterms:created>
  <dcterms:modified xsi:type="dcterms:W3CDTF">2022-04-18T10:36:00Z</dcterms:modified>
</cp:coreProperties>
</file>